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napToGrid/>
        <w:spacing w:line="240" w:lineRule="auto"/>
        <w:jc w:val="both"/>
        <w:rPr>
          <w:rFonts w:hint="eastAsia" w:asciiTheme="minorEastAsia" w:hAnsiTheme="minorEastAsia" w:eastAsiaTheme="minorEastAsia" w:cstheme="minorEastAsia"/>
          <w:sz w:val="44"/>
          <w:szCs w:val="44"/>
          <w:lang w:val="en-US" w:eastAsia="zh-CN"/>
        </w:rPr>
      </w:pPr>
    </w:p>
    <w:p>
      <w:pPr>
        <w:pStyle w:val="2"/>
        <w:keepNext w:val="0"/>
        <w:keepLines w:val="0"/>
        <w:pageBreakBefore w:val="0"/>
        <w:kinsoku/>
        <w:overflowPunct/>
        <w:topLinePunct w:val="0"/>
        <w:bidi w:val="0"/>
        <w:snapToGrid/>
        <w:spacing w:before="0" w:beforeLines="0" w:line="240" w:lineRule="auto"/>
        <w:rPr>
          <w:rFonts w:hint="eastAsia" w:asciiTheme="minorEastAsia" w:hAnsiTheme="minorEastAsia" w:eastAsiaTheme="minorEastAsia" w:cstheme="minorEastAsia"/>
          <w:sz w:val="44"/>
          <w:szCs w:val="44"/>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西畴县人民政府关于印发西畴县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44"/>
          <w:szCs w:val="44"/>
          <w:lang w:val="en-US" w:eastAsia="zh-CN"/>
        </w:rPr>
      </w:pPr>
      <w:bookmarkStart w:id="0" w:name="_GoBack"/>
      <w:bookmarkEnd w:id="0"/>
      <w:r>
        <w:rPr>
          <w:rFonts w:hint="eastAsia" w:asciiTheme="minorEastAsia" w:hAnsiTheme="minorEastAsia" w:eastAsiaTheme="minorEastAsia" w:cstheme="minorEastAsia"/>
          <w:sz w:val="44"/>
          <w:szCs w:val="44"/>
          <w:lang w:val="en-US" w:eastAsia="zh-CN"/>
        </w:rPr>
        <w:t>电子科技产业发展扶持政策（试行）的通知</w:t>
      </w:r>
    </w:p>
    <w:p>
      <w:pPr>
        <w:keepNext w:val="0"/>
        <w:keepLines w:val="0"/>
        <w:pageBreakBefore w:val="0"/>
        <w:widowControl/>
        <w:kinsoku/>
        <w:overflowPunct/>
        <w:topLinePunct w:val="0"/>
        <w:bidi w:val="0"/>
        <w:snapToGrid/>
        <w:spacing w:line="240" w:lineRule="auto"/>
        <w:jc w:val="center"/>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西政规</w:t>
      </w:r>
      <w:r>
        <w:rPr>
          <w:rFonts w:hint="eastAsia" w:ascii="楷体_GB2312" w:hAnsi="楷体_GB2312" w:eastAsia="楷体_GB2312" w:cs="楷体_GB2312"/>
          <w:b w:val="0"/>
          <w:bCs w:val="0"/>
          <w:sz w:val="32"/>
          <w:szCs w:val="32"/>
        </w:rPr>
        <w:t>〔20</w:t>
      </w:r>
      <w:r>
        <w:rPr>
          <w:rFonts w:hint="eastAsia" w:ascii="楷体_GB2312" w:hAnsi="楷体_GB2312" w:eastAsia="楷体_GB2312" w:cs="楷体_GB2312"/>
          <w:b w:val="0"/>
          <w:bCs w:val="0"/>
          <w:sz w:val="32"/>
          <w:szCs w:val="32"/>
          <w:lang w:val="en-US" w:eastAsia="zh-CN"/>
        </w:rPr>
        <w:t>22</w:t>
      </w: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val="en-US" w:eastAsia="zh-CN"/>
        </w:rPr>
        <w:t>4</w:t>
      </w:r>
      <w:r>
        <w:rPr>
          <w:rFonts w:hint="eastAsia" w:ascii="楷体_GB2312" w:hAnsi="楷体_GB2312" w:eastAsia="楷体_GB2312" w:cs="楷体_GB2312"/>
          <w:b w:val="0"/>
          <w:bCs w:val="0"/>
          <w:sz w:val="32"/>
          <w:szCs w:val="32"/>
        </w:rPr>
        <w:t>号</w:t>
      </w:r>
    </w:p>
    <w:p>
      <w:pPr>
        <w:pStyle w:val="2"/>
        <w:keepNext w:val="0"/>
        <w:keepLines w:val="0"/>
        <w:pageBreakBefore w:val="0"/>
        <w:kinsoku/>
        <w:overflowPunct/>
        <w:topLinePunct w:val="0"/>
        <w:bidi w:val="0"/>
        <w:snapToGrid/>
        <w:spacing w:before="0" w:beforeLines="0" w:line="240" w:lineRule="auto"/>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各乡（镇）人民政府，县直各部门：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现将《西畴县电子科技产业发展扶持政策（试行）》印发给你们，请认真贯彻落实。</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_GB2312" w:hAnsi="仿宋_GB2312" w:eastAsia="仿宋_GB2312" w:cs="仿宋_GB2312"/>
          <w:sz w:val="32"/>
          <w:szCs w:val="32"/>
          <w:lang w:val="en-US" w:eastAsia="zh-CN"/>
        </w:rPr>
      </w:pPr>
    </w:p>
    <w:p>
      <w:pPr>
        <w:pStyle w:val="12"/>
        <w:keepNext w:val="0"/>
        <w:keepLines w:val="0"/>
        <w:pageBreakBefore w:val="0"/>
        <w:kinsoku/>
        <w:overflowPunct/>
        <w:topLinePunct w:val="0"/>
        <w:bidi w:val="0"/>
        <w:snapToGrid/>
        <w:spacing w:line="240" w:lineRule="auto"/>
        <w:ind w:left="0" w:leftChars="0" w:firstLine="0" w:firstLineChars="0"/>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西畴县人民政府</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240" w:lineRule="auto"/>
        <w:ind w:left="0" w:leftChars="0"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2022年6月1日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Cs/>
          <w:kern w:val="44"/>
          <w:sz w:val="32"/>
          <w:szCs w:val="32"/>
          <w:lang w:val="en-US" w:eastAsia="zh-CN"/>
        </w:rPr>
      </w:pPr>
      <w:r>
        <w:rPr>
          <w:rFonts w:hint="eastAsia" w:ascii="仿宋_GB2312" w:hAnsi="仿宋_GB2312" w:eastAsia="仿宋_GB2312" w:cs="仿宋_GB2312"/>
          <w:bCs/>
          <w:kern w:val="44"/>
          <w:sz w:val="32"/>
          <w:szCs w:val="32"/>
          <w:lang w:val="en-US" w:eastAsia="zh-CN"/>
        </w:rPr>
        <w:t xml:space="preserve">    （此件公开发布）</w:t>
      </w:r>
    </w:p>
    <w:p>
      <w:pPr>
        <w:keepNext w:val="0"/>
        <w:keepLines w:val="0"/>
        <w:pageBreakBefore w:val="0"/>
        <w:kinsoku/>
        <w:overflowPunct/>
        <w:topLinePunct w:val="0"/>
        <w:bidi w:val="0"/>
        <w:snapToGrid/>
        <w:spacing w:line="240" w:lineRule="auto"/>
        <w:rPr>
          <w:rFonts w:hint="eastAsia" w:ascii="仿宋_GB2312" w:hAnsi="仿宋_GB2312" w:eastAsia="仿宋_GB2312" w:cs="仿宋_GB2312"/>
          <w:bCs/>
          <w:kern w:val="44"/>
          <w:sz w:val="32"/>
          <w:szCs w:val="32"/>
          <w:lang w:val="en-US" w:eastAsia="zh-CN"/>
        </w:rPr>
      </w:pPr>
      <w:r>
        <w:rPr>
          <w:rFonts w:hint="eastAsia" w:ascii="仿宋_GB2312" w:hAnsi="仿宋_GB2312" w:eastAsia="仿宋_GB2312" w:cs="仿宋_GB2312"/>
          <w:bCs/>
          <w:kern w:val="44"/>
          <w:sz w:val="32"/>
          <w:szCs w:val="32"/>
          <w:lang w:val="en-US" w:eastAsia="zh-CN"/>
        </w:rPr>
        <w:br w:type="page"/>
      </w:r>
    </w:p>
    <w:p>
      <w:pPr>
        <w:keepNext w:val="0"/>
        <w:keepLines w:val="0"/>
        <w:pageBreakBefore w:val="0"/>
        <w:kinsoku/>
        <w:overflowPunct/>
        <w:topLinePunct w:val="0"/>
        <w:bidi w:val="0"/>
        <w:snapToGrid/>
        <w:spacing w:line="240" w:lineRule="auto"/>
        <w:jc w:val="both"/>
        <w:rPr>
          <w:rFonts w:hint="eastAsia" w:asciiTheme="minorEastAsia" w:hAnsiTheme="minorEastAsia" w:eastAsiaTheme="minorEastAsia" w:cstheme="minorEastAsia"/>
          <w:sz w:val="44"/>
          <w:szCs w:val="44"/>
          <w:lang w:val="en-US" w:eastAsia="zh-CN"/>
        </w:rPr>
      </w:pPr>
    </w:p>
    <w:p>
      <w:pPr>
        <w:pStyle w:val="2"/>
        <w:keepNext w:val="0"/>
        <w:keepLines w:val="0"/>
        <w:pageBreakBefore w:val="0"/>
        <w:kinsoku/>
        <w:overflowPunct/>
        <w:topLinePunct w:val="0"/>
        <w:bidi w:val="0"/>
        <w:snapToGrid/>
        <w:spacing w:before="0" w:beforeLines="0" w:line="240" w:lineRule="auto"/>
        <w:rPr>
          <w:rFonts w:hint="eastAsia" w:asciiTheme="minorEastAsia" w:hAnsiTheme="minorEastAsia" w:eastAsiaTheme="minorEastAsia" w:cstheme="minorEastAsia"/>
          <w:sz w:val="44"/>
          <w:szCs w:val="44"/>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right="0"/>
        <w:jc w:val="center"/>
        <w:textAlignment w:val="auto"/>
        <w:rPr>
          <w:rFonts w:hint="eastAsia" w:asciiTheme="minorEastAsia" w:hAnsiTheme="minorEastAsia" w:eastAsiaTheme="minorEastAsia" w:cstheme="minorEastAsia"/>
          <w:i w:val="0"/>
          <w:iCs w:val="0"/>
          <w:caps w:val="0"/>
          <w:color w:val="auto"/>
          <w:spacing w:val="0"/>
          <w:kern w:val="0"/>
          <w:sz w:val="44"/>
          <w:szCs w:val="44"/>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44"/>
          <w:szCs w:val="44"/>
          <w:shd w:val="clear" w:fill="FFFFFF"/>
          <w:lang w:val="en-US" w:eastAsia="zh-CN" w:bidi="ar"/>
        </w:rPr>
        <w:t>西畴县高新电子科技产业发展扶持政策（</w:t>
      </w:r>
      <w:r>
        <w:rPr>
          <w:rFonts w:hint="eastAsia" w:asciiTheme="minorEastAsia" w:hAnsiTheme="minorEastAsia" w:eastAsiaTheme="minorEastAsia" w:cstheme="minorEastAsia"/>
          <w:spacing w:val="0"/>
          <w:w w:val="100"/>
          <w:sz w:val="44"/>
          <w:szCs w:val="44"/>
          <w:lang w:eastAsia="zh-CN"/>
        </w:rPr>
        <w:t>试行</w:t>
      </w:r>
      <w:r>
        <w:rPr>
          <w:rFonts w:hint="eastAsia" w:asciiTheme="minorEastAsia" w:hAnsiTheme="minorEastAsia" w:eastAsiaTheme="minorEastAsia" w:cstheme="minorEastAsia"/>
          <w:i w:val="0"/>
          <w:iCs w:val="0"/>
          <w:caps w:val="0"/>
          <w:color w:val="auto"/>
          <w:spacing w:val="0"/>
          <w:kern w:val="0"/>
          <w:sz w:val="44"/>
          <w:szCs w:val="44"/>
          <w:shd w:val="clear" w:fill="FFFFFF"/>
          <w:lang w:val="en-US" w:eastAsia="zh-CN" w:bidi="ar"/>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(2022年6月1日西政规〔2022〕4号公布  自2022年6月1日起施行)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为加快西畴县</w:t>
      </w:r>
      <w:r>
        <w:rPr>
          <w:rFonts w:hint="eastAsia" w:ascii="仿宋_GB2312" w:hAnsi="仿宋_GB2312" w:eastAsia="仿宋_GB2312" w:cs="仿宋_GB2312"/>
          <w:color w:val="auto"/>
          <w:sz w:val="32"/>
          <w:szCs w:val="32"/>
          <w:lang w:eastAsia="zh-CN"/>
        </w:rPr>
        <w:t>工业经济</w:t>
      </w:r>
      <w:r>
        <w:rPr>
          <w:rFonts w:hint="eastAsia" w:ascii="仿宋_GB2312" w:hAnsi="仿宋_GB2312" w:eastAsia="仿宋_GB2312" w:cs="仿宋_GB2312"/>
          <w:color w:val="auto"/>
          <w:sz w:val="32"/>
          <w:szCs w:val="32"/>
        </w:rPr>
        <w:t>发展，</w:t>
      </w:r>
      <w:r>
        <w:rPr>
          <w:rFonts w:hint="eastAsia" w:ascii="仿宋_GB2312" w:hAnsi="仿宋_GB2312" w:eastAsia="仿宋_GB2312" w:cs="仿宋_GB2312"/>
          <w:color w:val="auto"/>
          <w:sz w:val="32"/>
          <w:szCs w:val="32"/>
          <w:lang w:eastAsia="zh-CN"/>
        </w:rPr>
        <w:t>按照省委、省政府打造世界一流“三张牌”战略部署和州委、州政府对西畴“一高地一基地一示范”的发展定位，</w:t>
      </w:r>
      <w:r>
        <w:rPr>
          <w:rFonts w:hint="eastAsia" w:ascii="仿宋_GB2312" w:hAnsi="仿宋_GB2312" w:eastAsia="仿宋_GB2312" w:cs="仿宋_GB2312"/>
          <w:color w:val="auto"/>
          <w:sz w:val="32"/>
          <w:szCs w:val="32"/>
        </w:rPr>
        <w:t>增强</w:t>
      </w:r>
      <w:r>
        <w:rPr>
          <w:rFonts w:hint="eastAsia" w:ascii="仿宋_GB2312" w:hAnsi="仿宋_GB2312" w:eastAsia="仿宋_GB2312" w:cs="仿宋_GB2312"/>
          <w:color w:val="auto"/>
          <w:sz w:val="32"/>
          <w:szCs w:val="32"/>
          <w:lang w:eastAsia="zh-CN"/>
        </w:rPr>
        <w:t>县域</w:t>
      </w:r>
      <w:r>
        <w:rPr>
          <w:rFonts w:hint="eastAsia" w:ascii="仿宋_GB2312" w:hAnsi="仿宋_GB2312" w:eastAsia="仿宋_GB2312" w:cs="仿宋_GB2312"/>
          <w:color w:val="auto"/>
          <w:sz w:val="32"/>
          <w:szCs w:val="32"/>
        </w:rPr>
        <w:t>产业核心竞争力，打造百亿级</w:t>
      </w:r>
      <w:r>
        <w:rPr>
          <w:rFonts w:hint="eastAsia" w:ascii="仿宋_GB2312" w:hAnsi="仿宋_GB2312" w:eastAsia="仿宋_GB2312" w:cs="仿宋_GB2312"/>
          <w:color w:val="auto"/>
          <w:sz w:val="32"/>
          <w:szCs w:val="32"/>
          <w:lang w:eastAsia="zh-CN"/>
        </w:rPr>
        <w:t>高新</w:t>
      </w:r>
      <w:r>
        <w:rPr>
          <w:rFonts w:hint="eastAsia" w:ascii="仿宋_GB2312" w:hAnsi="仿宋_GB2312" w:eastAsia="仿宋_GB2312" w:cs="仿宋_GB2312"/>
          <w:color w:val="auto"/>
          <w:sz w:val="32"/>
          <w:szCs w:val="32"/>
        </w:rPr>
        <w:t>电子</w:t>
      </w:r>
      <w:r>
        <w:rPr>
          <w:rFonts w:hint="eastAsia" w:ascii="仿宋_GB2312" w:hAnsi="仿宋_GB2312" w:eastAsia="仿宋_GB2312" w:cs="仿宋_GB2312"/>
          <w:color w:val="auto"/>
          <w:sz w:val="32"/>
          <w:szCs w:val="32"/>
          <w:lang w:eastAsia="zh-CN"/>
        </w:rPr>
        <w:t>科技</w:t>
      </w:r>
      <w:r>
        <w:rPr>
          <w:rFonts w:hint="eastAsia" w:ascii="仿宋_GB2312" w:hAnsi="仿宋_GB2312" w:eastAsia="仿宋_GB2312" w:cs="仿宋_GB2312"/>
          <w:color w:val="auto"/>
          <w:sz w:val="32"/>
          <w:szCs w:val="32"/>
        </w:rPr>
        <w:t>产业集群，推动产业转型升级和县域经济高质量发展，特制订本</w:t>
      </w:r>
      <w:r>
        <w:rPr>
          <w:rFonts w:hint="eastAsia" w:ascii="仿宋_GB2312" w:hAnsi="仿宋_GB2312" w:eastAsia="仿宋_GB2312" w:cs="仿宋_GB2312"/>
          <w:color w:val="auto"/>
          <w:sz w:val="32"/>
          <w:szCs w:val="32"/>
          <w:lang w:eastAsia="zh-CN"/>
        </w:rPr>
        <w:t>扶持</w:t>
      </w:r>
      <w:r>
        <w:rPr>
          <w:rFonts w:hint="eastAsia" w:ascii="仿宋_GB2312" w:hAnsi="仿宋_GB2312" w:eastAsia="仿宋_GB2312" w:cs="仿宋_GB2312"/>
          <w:color w:val="auto"/>
          <w:sz w:val="32"/>
          <w:szCs w:val="32"/>
        </w:rPr>
        <w:t>政策</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z w:val="32"/>
          <w:szCs w:val="32"/>
          <w:lang w:eastAsia="zh-CN"/>
        </w:rPr>
      </w:pPr>
      <w:r>
        <w:rPr>
          <w:rFonts w:hint="eastAsia" w:ascii="黑体" w:hAnsi="黑体" w:eastAsia="黑体" w:cs="黑体"/>
          <w:bCs/>
          <w:color w:val="auto"/>
          <w:sz w:val="32"/>
          <w:highlight w:val="none"/>
        </w:rPr>
        <w:t>第一章</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黑体" w:hAnsi="黑体" w:eastAsia="黑体" w:cs="黑体"/>
          <w:color w:val="auto"/>
          <w:sz w:val="32"/>
          <w:szCs w:val="32"/>
          <w:lang w:eastAsia="zh-CN"/>
        </w:rPr>
        <w:t>扶持范围和条件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第一条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color w:val="auto"/>
          <w:sz w:val="32"/>
          <w:szCs w:val="32"/>
        </w:rPr>
        <w:t>适用</w:t>
      </w:r>
      <w:r>
        <w:rPr>
          <w:rFonts w:hint="eastAsia" w:ascii="仿宋_GB2312" w:hAnsi="仿宋_GB2312" w:eastAsia="仿宋_GB2312" w:cs="仿宋_GB2312"/>
          <w:color w:val="auto"/>
          <w:sz w:val="32"/>
          <w:szCs w:val="32"/>
          <w:lang w:eastAsia="zh-CN"/>
        </w:rPr>
        <w:t>行业</w:t>
      </w:r>
      <w:r>
        <w:rPr>
          <w:rFonts w:hint="eastAsia" w:ascii="仿宋_GB2312" w:hAnsi="仿宋_GB2312" w:eastAsia="仿宋_GB2312" w:cs="仿宋_GB2312"/>
          <w:color w:val="auto"/>
          <w:sz w:val="32"/>
          <w:szCs w:val="32"/>
        </w:rPr>
        <w:t>范围。电子信息领域</w:t>
      </w:r>
      <w:r>
        <w:rPr>
          <w:rFonts w:hint="eastAsia" w:ascii="仿宋_GB2312" w:hAnsi="仿宋_GB2312" w:eastAsia="仿宋_GB2312" w:cs="仿宋_GB2312"/>
          <w:color w:val="auto"/>
          <w:sz w:val="32"/>
          <w:szCs w:val="32"/>
          <w:lang w:eastAsia="zh-CN"/>
        </w:rPr>
        <w:t>企业，含</w:t>
      </w:r>
      <w:r>
        <w:rPr>
          <w:rFonts w:hint="eastAsia" w:ascii="仿宋_GB2312" w:hAnsi="仿宋_GB2312" w:eastAsia="仿宋_GB2312" w:cs="仿宋_GB2312"/>
          <w:color w:val="auto"/>
          <w:sz w:val="32"/>
          <w:szCs w:val="32"/>
        </w:rPr>
        <w:t>研发、生产</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。重点支持</w:t>
      </w:r>
      <w:r>
        <w:rPr>
          <w:rFonts w:hint="eastAsia" w:ascii="仿宋_GB2312" w:hAnsi="仿宋_GB2312" w:eastAsia="仿宋_GB2312" w:cs="仿宋_GB2312"/>
          <w:color w:val="auto"/>
          <w:sz w:val="32"/>
          <w:szCs w:val="32"/>
          <w:lang w:val="en-US" w:eastAsia="zh-CN"/>
        </w:rPr>
        <w:t>国家投资政策允许的</w:t>
      </w:r>
      <w:r>
        <w:rPr>
          <w:rFonts w:hint="eastAsia" w:ascii="仿宋_GB2312" w:hAnsi="仿宋_GB2312" w:eastAsia="仿宋_GB2312" w:cs="仿宋_GB2312"/>
          <w:color w:val="auto"/>
          <w:sz w:val="32"/>
          <w:szCs w:val="32"/>
        </w:rPr>
        <w:t>集成电路、新型显示、网络信息安全、智能终端及人工智能、虚拟现实、5G及光通信、物联网、大数据、软件和信息技术服务</w:t>
      </w:r>
      <w:r>
        <w:rPr>
          <w:rFonts w:hint="eastAsia" w:ascii="仿宋_GB2312" w:hAnsi="仿宋_GB2312" w:eastAsia="仿宋_GB2312" w:cs="仿宋_GB2312"/>
          <w:color w:val="auto"/>
          <w:sz w:val="32"/>
          <w:szCs w:val="32"/>
          <w:lang w:eastAsia="zh-CN"/>
        </w:rPr>
        <w:t>；新能源电池生产（</w:t>
      </w:r>
      <w:r>
        <w:rPr>
          <w:rFonts w:hint="eastAsia" w:ascii="仿宋_GB2312" w:hAnsi="仿宋_GB2312" w:eastAsia="仿宋_GB2312" w:cs="仿宋_GB2312"/>
          <w:color w:val="auto"/>
          <w:sz w:val="32"/>
          <w:szCs w:val="32"/>
        </w:rPr>
        <w:t>材料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电芯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电池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应用</w:t>
      </w:r>
      <w:r>
        <w:rPr>
          <w:rFonts w:hint="eastAsia" w:ascii="仿宋_GB2312" w:hAnsi="仿宋_GB2312" w:eastAsia="仿宋_GB2312" w:cs="仿宋_GB2312"/>
          <w:color w:val="auto"/>
          <w:sz w:val="32"/>
          <w:szCs w:val="32"/>
          <w:lang w:eastAsia="zh-CN"/>
        </w:rPr>
        <w:t>、回收全生命周期产业链）</w:t>
      </w:r>
      <w:r>
        <w:rPr>
          <w:rFonts w:hint="eastAsia" w:ascii="仿宋_GB2312" w:hAnsi="仿宋_GB2312" w:eastAsia="仿宋_GB2312" w:cs="仿宋_GB2312"/>
          <w:color w:val="auto"/>
          <w:sz w:val="32"/>
          <w:szCs w:val="32"/>
        </w:rPr>
        <w:t>等新兴领域。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b w:val="0"/>
          <w:bCs w:val="0"/>
          <w:color w:val="auto"/>
          <w:sz w:val="32"/>
          <w:szCs w:val="32"/>
        </w:rPr>
        <w:t>第二条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color w:val="auto"/>
          <w:sz w:val="32"/>
          <w:szCs w:val="32"/>
          <w:lang w:eastAsia="zh-CN"/>
        </w:rPr>
        <w:t>适用规模。签约后</w:t>
      </w:r>
      <w:r>
        <w:rPr>
          <w:rFonts w:hint="eastAsia" w:ascii="仿宋_GB2312" w:hAnsi="仿宋_GB2312" w:eastAsia="仿宋_GB2312" w:cs="仿宋_GB2312"/>
          <w:i w:val="0"/>
          <w:iCs w:val="0"/>
          <w:caps w:val="0"/>
          <w:color w:val="auto"/>
          <w:spacing w:val="0"/>
          <w:sz w:val="32"/>
          <w:szCs w:val="32"/>
          <w:shd w:val="clear" w:fill="FFFFFF"/>
        </w:rPr>
        <w:t>在</w:t>
      </w:r>
      <w:r>
        <w:rPr>
          <w:rFonts w:hint="eastAsia" w:ascii="仿宋_GB2312" w:hAnsi="仿宋_GB2312" w:eastAsia="仿宋_GB2312" w:cs="仿宋_GB2312"/>
          <w:i w:val="0"/>
          <w:iCs w:val="0"/>
          <w:caps w:val="0"/>
          <w:color w:val="auto"/>
          <w:spacing w:val="0"/>
          <w:sz w:val="32"/>
          <w:szCs w:val="32"/>
          <w:shd w:val="clear" w:fill="FFFFFF"/>
          <w:lang w:eastAsia="zh-CN"/>
        </w:rPr>
        <w:t>西畴县一年内</w:t>
      </w:r>
      <w:r>
        <w:rPr>
          <w:rFonts w:hint="eastAsia" w:ascii="仿宋_GB2312" w:hAnsi="仿宋_GB2312" w:eastAsia="仿宋_GB2312" w:cs="仿宋_GB2312"/>
          <w:i w:val="0"/>
          <w:iCs w:val="0"/>
          <w:caps w:val="0"/>
          <w:color w:val="auto"/>
          <w:spacing w:val="0"/>
          <w:sz w:val="32"/>
          <w:szCs w:val="32"/>
          <w:shd w:val="clear" w:fill="FFFFFF"/>
        </w:rPr>
        <w:t>固定资产投资不低于</w:t>
      </w:r>
      <w:r>
        <w:rPr>
          <w:rFonts w:hint="eastAsia" w:ascii="仿宋_GB2312" w:hAnsi="仿宋_GB2312" w:eastAsia="仿宋_GB2312" w:cs="仿宋_GB2312"/>
          <w:i w:val="0"/>
          <w:iCs w:val="0"/>
          <w:caps w:val="0"/>
          <w:color w:val="auto"/>
          <w:spacing w:val="0"/>
          <w:sz w:val="32"/>
          <w:szCs w:val="32"/>
          <w:shd w:val="clear" w:fill="FFFFFF"/>
          <w:lang w:val="en-US" w:eastAsia="zh-CN"/>
        </w:rPr>
        <w:t>5000万</w:t>
      </w:r>
      <w:r>
        <w:rPr>
          <w:rFonts w:hint="eastAsia" w:ascii="仿宋_GB2312" w:hAnsi="仿宋_GB2312" w:eastAsia="仿宋_GB2312" w:cs="仿宋_GB2312"/>
          <w:i w:val="0"/>
          <w:iCs w:val="0"/>
          <w:caps w:val="0"/>
          <w:color w:val="auto"/>
          <w:spacing w:val="0"/>
          <w:sz w:val="32"/>
          <w:szCs w:val="32"/>
          <w:shd w:val="clear" w:fill="FFFFFF"/>
        </w:rPr>
        <w:t>元（含）或</w:t>
      </w:r>
      <w:r>
        <w:rPr>
          <w:rFonts w:hint="eastAsia" w:ascii="仿宋_GB2312" w:hAnsi="仿宋_GB2312" w:eastAsia="仿宋_GB2312" w:cs="仿宋_GB2312"/>
          <w:i w:val="0"/>
          <w:iCs w:val="0"/>
          <w:caps w:val="0"/>
          <w:color w:val="auto"/>
          <w:spacing w:val="0"/>
          <w:sz w:val="32"/>
          <w:szCs w:val="32"/>
          <w:shd w:val="clear" w:fill="FFFFFF"/>
          <w:lang w:eastAsia="zh-CN"/>
        </w:rPr>
        <w:t>建成投产后一年内</w:t>
      </w:r>
      <w:r>
        <w:rPr>
          <w:rFonts w:hint="eastAsia" w:ascii="仿宋_GB2312" w:hAnsi="仿宋_GB2312" w:eastAsia="仿宋_GB2312" w:cs="仿宋_GB2312"/>
          <w:i w:val="0"/>
          <w:iCs w:val="0"/>
          <w:caps w:val="0"/>
          <w:color w:val="auto"/>
          <w:spacing w:val="0"/>
          <w:sz w:val="32"/>
          <w:szCs w:val="32"/>
          <w:shd w:val="clear" w:fill="FFFFFF"/>
        </w:rPr>
        <w:t>主营业务收入</w:t>
      </w: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亿元以上</w:t>
      </w:r>
      <w:r>
        <w:rPr>
          <w:rFonts w:hint="eastAsia" w:ascii="仿宋_GB2312" w:hAnsi="仿宋_GB2312" w:eastAsia="仿宋_GB2312" w:cs="仿宋_GB2312"/>
          <w:i w:val="0"/>
          <w:iCs w:val="0"/>
          <w:caps w:val="0"/>
          <w:color w:val="auto"/>
          <w:spacing w:val="0"/>
          <w:sz w:val="32"/>
          <w:szCs w:val="32"/>
          <w:shd w:val="clear" w:fill="FFFFFF"/>
          <w:lang w:eastAsia="zh-CN"/>
        </w:rPr>
        <w:t>；或</w:t>
      </w:r>
      <w:r>
        <w:rPr>
          <w:rFonts w:hint="eastAsia" w:ascii="仿宋_GB2312" w:hAnsi="仿宋_GB2312" w:eastAsia="仿宋_GB2312" w:cs="仿宋_GB2312"/>
          <w:i w:val="0"/>
          <w:iCs w:val="0"/>
          <w:caps w:val="0"/>
          <w:color w:val="auto"/>
          <w:spacing w:val="0"/>
          <w:sz w:val="32"/>
          <w:szCs w:val="32"/>
          <w:shd w:val="clear" w:fill="FFFFFF"/>
        </w:rPr>
        <w:t>设备投入1000万元以上，年产值2000万元以上、年税收200万元以上、达产后三年内每平方米</w:t>
      </w:r>
      <w:r>
        <w:rPr>
          <w:rFonts w:hint="eastAsia" w:ascii="仿宋_GB2312" w:hAnsi="仿宋_GB2312" w:eastAsia="仿宋_GB2312" w:cs="仿宋_GB2312"/>
          <w:i w:val="0"/>
          <w:iCs w:val="0"/>
          <w:caps w:val="0"/>
          <w:color w:val="auto"/>
          <w:spacing w:val="0"/>
          <w:sz w:val="32"/>
          <w:szCs w:val="32"/>
          <w:shd w:val="clear" w:fill="FFFFFF"/>
          <w:lang w:val="en-US" w:eastAsia="zh-CN"/>
        </w:rPr>
        <w:t>厂房</w:t>
      </w:r>
      <w:r>
        <w:rPr>
          <w:rFonts w:hint="eastAsia" w:ascii="仿宋_GB2312" w:hAnsi="仿宋_GB2312" w:eastAsia="仿宋_GB2312" w:cs="仿宋_GB2312"/>
          <w:i w:val="0"/>
          <w:iCs w:val="0"/>
          <w:caps w:val="0"/>
          <w:color w:val="auto"/>
          <w:spacing w:val="0"/>
          <w:sz w:val="32"/>
          <w:szCs w:val="32"/>
          <w:shd w:val="clear" w:fill="FFFFFF"/>
        </w:rPr>
        <w:t>税收达到300元以上的</w:t>
      </w:r>
      <w:r>
        <w:rPr>
          <w:rFonts w:hint="eastAsia" w:ascii="仿宋_GB2312" w:hAnsi="仿宋_GB2312" w:eastAsia="仿宋_GB2312" w:cs="仿宋_GB2312"/>
          <w:i w:val="0"/>
          <w:iCs w:val="0"/>
          <w:caps w:val="0"/>
          <w:color w:val="auto"/>
          <w:spacing w:val="0"/>
          <w:sz w:val="32"/>
          <w:szCs w:val="32"/>
          <w:shd w:val="clear" w:fill="FFFFFF"/>
          <w:lang w:eastAsia="zh-CN"/>
        </w:rPr>
        <w:t>高新</w:t>
      </w:r>
      <w:r>
        <w:rPr>
          <w:rFonts w:hint="eastAsia" w:ascii="仿宋_GB2312" w:hAnsi="仿宋_GB2312" w:eastAsia="仿宋_GB2312" w:cs="仿宋_GB2312"/>
          <w:i w:val="0"/>
          <w:iCs w:val="0"/>
          <w:caps w:val="0"/>
          <w:color w:val="auto"/>
          <w:spacing w:val="0"/>
          <w:sz w:val="32"/>
          <w:szCs w:val="32"/>
          <w:shd w:val="clear" w:fill="FFFFFF"/>
        </w:rPr>
        <w:t>电子</w:t>
      </w:r>
      <w:r>
        <w:rPr>
          <w:rFonts w:hint="eastAsia" w:ascii="仿宋_GB2312" w:hAnsi="仿宋_GB2312" w:eastAsia="仿宋_GB2312" w:cs="仿宋_GB2312"/>
          <w:i w:val="0"/>
          <w:iCs w:val="0"/>
          <w:caps w:val="0"/>
          <w:color w:val="auto"/>
          <w:spacing w:val="0"/>
          <w:sz w:val="32"/>
          <w:szCs w:val="32"/>
          <w:shd w:val="clear" w:fill="FFFFFF"/>
          <w:lang w:eastAsia="zh-CN"/>
        </w:rPr>
        <w:t>科技</w:t>
      </w:r>
      <w:r>
        <w:rPr>
          <w:rFonts w:hint="eastAsia" w:ascii="仿宋_GB2312" w:hAnsi="仿宋_GB2312" w:eastAsia="仿宋_GB2312" w:cs="仿宋_GB2312"/>
          <w:i w:val="0"/>
          <w:iCs w:val="0"/>
          <w:caps w:val="0"/>
          <w:color w:val="auto"/>
          <w:spacing w:val="0"/>
          <w:sz w:val="32"/>
          <w:szCs w:val="32"/>
          <w:shd w:val="clear" w:fill="FFFFFF"/>
        </w:rPr>
        <w:t>产业</w:t>
      </w:r>
      <w:r>
        <w:rPr>
          <w:rFonts w:hint="eastAsia" w:ascii="仿宋_GB2312" w:hAnsi="仿宋_GB2312" w:eastAsia="仿宋_GB2312" w:cs="仿宋_GB2312"/>
          <w:i w:val="0"/>
          <w:iCs w:val="0"/>
          <w:caps w:val="0"/>
          <w:color w:val="auto"/>
          <w:spacing w:val="0"/>
          <w:sz w:val="32"/>
          <w:szCs w:val="32"/>
          <w:shd w:val="clear" w:fill="FFFFFF"/>
          <w:lang w:eastAsia="zh-CN"/>
        </w:rPr>
        <w:t>企业。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b w:val="0"/>
          <w:bCs w:val="0"/>
          <w:color w:val="auto"/>
          <w:sz w:val="32"/>
          <w:szCs w:val="32"/>
        </w:rPr>
        <w:t>第三条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color w:val="auto"/>
          <w:sz w:val="32"/>
          <w:szCs w:val="32"/>
        </w:rPr>
        <w:t>工商、税收和统计关系在</w:t>
      </w:r>
      <w:r>
        <w:rPr>
          <w:rFonts w:hint="eastAsia" w:ascii="仿宋_GB2312" w:hAnsi="仿宋_GB2312" w:eastAsia="仿宋_GB2312" w:cs="仿宋_GB2312"/>
          <w:color w:val="auto"/>
          <w:sz w:val="32"/>
          <w:szCs w:val="32"/>
          <w:lang w:eastAsia="zh-CN"/>
        </w:rPr>
        <w:t>西畴县且具有</w:t>
      </w:r>
      <w:r>
        <w:rPr>
          <w:rFonts w:hint="eastAsia" w:ascii="仿宋_GB2312" w:hAnsi="仿宋_GB2312" w:eastAsia="仿宋_GB2312" w:cs="仿宋_GB2312"/>
          <w:color w:val="auto"/>
          <w:sz w:val="32"/>
          <w:szCs w:val="32"/>
        </w:rPr>
        <w:t>独立法人资格的</w:t>
      </w:r>
      <w:r>
        <w:rPr>
          <w:rFonts w:hint="eastAsia" w:ascii="仿宋_GB2312" w:hAnsi="仿宋_GB2312" w:eastAsia="仿宋_GB2312" w:cs="仿宋_GB2312"/>
          <w:color w:val="auto"/>
          <w:sz w:val="32"/>
          <w:szCs w:val="32"/>
          <w:lang w:eastAsia="zh-CN"/>
        </w:rPr>
        <w:t>高新电子科技产业企业。</w:t>
      </w:r>
      <w:r>
        <w:rPr>
          <w:rFonts w:hint="eastAsia" w:ascii="仿宋_GB2312" w:hAnsi="仿宋_GB2312" w:eastAsia="仿宋_GB2312" w:cs="仿宋_GB2312"/>
          <w:color w:val="auto"/>
          <w:sz w:val="32"/>
          <w:szCs w:val="32"/>
          <w:lang w:val="en-US" w:eastAsia="zh-CN"/>
        </w:rPr>
        <w:t>单个项目落地的，享受第四条至第十二条政策，全产业链入驻的享受第十三条至第十七条政策，</w:t>
      </w:r>
      <w:r>
        <w:rPr>
          <w:rFonts w:hint="eastAsia" w:ascii="仿宋_GB2312" w:hAnsi="仿宋_GB2312" w:eastAsia="仿宋_GB2312" w:cs="仿宋_GB2312"/>
          <w:color w:val="auto"/>
          <w:sz w:val="32"/>
          <w:szCs w:val="32"/>
          <w:highlight w:val="none"/>
          <w:lang w:val="en-US" w:eastAsia="zh-CN"/>
        </w:rPr>
        <w:t>不能重复享受</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bCs/>
          <w:color w:val="auto"/>
          <w:sz w:val="32"/>
          <w:highlight w:val="none"/>
        </w:rPr>
        <w:t>第</w:t>
      </w:r>
      <w:r>
        <w:rPr>
          <w:rFonts w:hint="eastAsia" w:ascii="黑体" w:hAnsi="黑体" w:eastAsia="黑体" w:cs="黑体"/>
          <w:bCs/>
          <w:color w:val="auto"/>
          <w:sz w:val="32"/>
          <w:highlight w:val="none"/>
          <w:lang w:eastAsia="zh-CN"/>
        </w:rPr>
        <w:t>二</w:t>
      </w:r>
      <w:r>
        <w:rPr>
          <w:rFonts w:hint="eastAsia" w:ascii="黑体" w:hAnsi="黑体" w:eastAsia="黑体" w:cs="黑体"/>
          <w:bCs/>
          <w:color w:val="auto"/>
          <w:sz w:val="32"/>
          <w:highlight w:val="none"/>
        </w:rPr>
        <w:t>章</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黑体" w:hAnsi="黑体" w:eastAsia="黑体" w:cs="黑体"/>
          <w:b w:val="0"/>
          <w:bCs w:val="0"/>
          <w:color w:val="auto"/>
          <w:sz w:val="32"/>
          <w:szCs w:val="32"/>
          <w:lang w:val="en-US" w:eastAsia="zh-CN"/>
        </w:rPr>
        <w:t>扶持内容</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（一）对单个项目落地西畴的扶持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b w:val="0"/>
          <w:bCs w:val="0"/>
          <w:color w:val="auto"/>
          <w:sz w:val="32"/>
          <w:szCs w:val="32"/>
        </w:rPr>
        <w:t>第四条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color w:val="auto"/>
          <w:sz w:val="32"/>
          <w:szCs w:val="32"/>
        </w:rPr>
        <w:t>产业发展基金</w:t>
      </w:r>
      <w:r>
        <w:rPr>
          <w:rFonts w:hint="eastAsia" w:ascii="仿宋_GB2312" w:hAnsi="仿宋_GB2312" w:eastAsia="仿宋_GB2312" w:cs="仿宋_GB2312"/>
          <w:color w:val="auto"/>
          <w:sz w:val="32"/>
          <w:szCs w:val="32"/>
          <w:lang w:eastAsia="zh-CN"/>
        </w:rPr>
        <w:t>扶持</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西畴县</w:t>
      </w:r>
      <w:r>
        <w:rPr>
          <w:rFonts w:hint="eastAsia" w:ascii="仿宋_GB2312" w:hAnsi="仿宋_GB2312" w:eastAsia="仿宋_GB2312" w:cs="仿宋_GB2312"/>
          <w:color w:val="auto"/>
          <w:sz w:val="32"/>
          <w:szCs w:val="32"/>
        </w:rPr>
        <w:t xml:space="preserve">依托股权投资引导基金出资 </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 xml:space="preserve"> 亿元作为引导资金，吸引社会资本、产业资本和金融资本参与，成立规模不</w:t>
      </w:r>
      <w:r>
        <w:rPr>
          <w:rFonts w:hint="eastAsia" w:ascii="仿宋_GB2312" w:hAnsi="仿宋_GB2312" w:eastAsia="仿宋_GB2312" w:cs="仿宋_GB2312"/>
          <w:color w:val="auto"/>
          <w:sz w:val="32"/>
          <w:szCs w:val="32"/>
          <w:lang w:eastAsia="zh-CN"/>
        </w:rPr>
        <w:t>超过</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 xml:space="preserve"> 亿元的</w:t>
      </w:r>
      <w:r>
        <w:rPr>
          <w:rFonts w:hint="eastAsia" w:ascii="仿宋_GB2312" w:hAnsi="仿宋_GB2312" w:eastAsia="仿宋_GB2312" w:cs="仿宋_GB2312"/>
          <w:color w:val="auto"/>
          <w:sz w:val="32"/>
          <w:szCs w:val="32"/>
          <w:lang w:eastAsia="zh-CN"/>
        </w:rPr>
        <w:t>西畴县</w:t>
      </w:r>
      <w:r>
        <w:rPr>
          <w:rFonts w:hint="eastAsia" w:ascii="仿宋_GB2312" w:hAnsi="仿宋_GB2312" w:eastAsia="仿宋_GB2312" w:cs="仿宋_GB2312"/>
          <w:color w:val="auto"/>
          <w:sz w:val="32"/>
          <w:szCs w:val="32"/>
        </w:rPr>
        <w:t>电子信息产业</w:t>
      </w:r>
      <w:r>
        <w:rPr>
          <w:rFonts w:hint="eastAsia" w:ascii="仿宋_GB2312" w:hAnsi="仿宋_GB2312" w:eastAsia="仿宋_GB2312" w:cs="仿宋_GB2312"/>
          <w:color w:val="auto"/>
          <w:sz w:val="32"/>
          <w:szCs w:val="32"/>
          <w:lang w:eastAsia="zh-CN"/>
        </w:rPr>
        <w:t>及新能源电池</w:t>
      </w:r>
      <w:r>
        <w:rPr>
          <w:rFonts w:hint="eastAsia" w:ascii="仿宋_GB2312" w:hAnsi="仿宋_GB2312" w:eastAsia="仿宋_GB2312" w:cs="仿宋_GB2312"/>
          <w:color w:val="auto"/>
          <w:sz w:val="32"/>
          <w:szCs w:val="32"/>
        </w:rPr>
        <w:t>专项投资基金。主要用于支持电子信息产业重大产业化项目、公共技术服务平台建设、重点企业培育、重大项目重组并购等。</w:t>
      </w:r>
      <w:r>
        <w:rPr>
          <w:rFonts w:hint="eastAsia" w:ascii="仿宋_GB2312" w:hAnsi="仿宋_GB2312" w:eastAsia="仿宋_GB2312" w:cs="仿宋_GB2312"/>
          <w:b/>
          <w:bCs/>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五</w:t>
      </w:r>
      <w:r>
        <w:rPr>
          <w:rFonts w:hint="eastAsia" w:ascii="黑体" w:hAnsi="黑体" w:eastAsia="黑体" w:cs="黑体"/>
          <w:b w:val="0"/>
          <w:bCs w:val="0"/>
          <w:color w:val="auto"/>
          <w:sz w:val="32"/>
          <w:szCs w:val="32"/>
        </w:rPr>
        <w:t>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color w:val="auto"/>
          <w:sz w:val="32"/>
          <w:szCs w:val="32"/>
        </w:rPr>
        <w:t>固定资产投</w:t>
      </w:r>
      <w:r>
        <w:rPr>
          <w:rFonts w:hint="eastAsia" w:ascii="仿宋_GB2312" w:hAnsi="仿宋_GB2312" w:eastAsia="仿宋_GB2312" w:cs="仿宋_GB2312"/>
          <w:color w:val="auto"/>
          <w:sz w:val="32"/>
          <w:szCs w:val="32"/>
          <w:lang w:eastAsia="zh-CN"/>
        </w:rPr>
        <w:t>资扶持</w:t>
      </w:r>
      <w:r>
        <w:rPr>
          <w:rFonts w:hint="eastAsia" w:ascii="仿宋_GB2312" w:hAnsi="仿宋_GB2312" w:eastAsia="仿宋_GB2312" w:cs="仿宋_GB2312"/>
          <w:color w:val="auto"/>
          <w:sz w:val="32"/>
          <w:szCs w:val="32"/>
        </w:rPr>
        <w:t>。对新引进的生产性企业，</w:t>
      </w:r>
      <w:r>
        <w:rPr>
          <w:rFonts w:hint="eastAsia" w:ascii="仿宋_GB2312" w:hAnsi="仿宋_GB2312" w:eastAsia="仿宋_GB2312" w:cs="仿宋_GB2312"/>
          <w:color w:val="auto"/>
          <w:sz w:val="32"/>
          <w:szCs w:val="32"/>
          <w:lang w:eastAsia="zh-CN"/>
        </w:rPr>
        <w:t>首次固定资产投资超过</w:t>
      </w:r>
      <w:r>
        <w:rPr>
          <w:rFonts w:hint="eastAsia" w:ascii="仿宋_GB2312" w:hAnsi="仿宋_GB2312" w:eastAsia="仿宋_GB2312" w:cs="仿宋_GB2312"/>
          <w:color w:val="auto"/>
          <w:sz w:val="32"/>
          <w:szCs w:val="32"/>
          <w:lang w:val="en-US" w:eastAsia="zh-CN"/>
        </w:rPr>
        <w:t>0.5亿元（含0.5亿元）</w:t>
      </w:r>
      <w:r>
        <w:rPr>
          <w:rFonts w:hint="eastAsia" w:ascii="仿宋_GB2312" w:hAnsi="仿宋_GB2312" w:eastAsia="仿宋_GB2312" w:cs="仿宋_GB2312"/>
          <w:color w:val="auto"/>
          <w:sz w:val="32"/>
          <w:szCs w:val="32"/>
        </w:rPr>
        <w:t>，按其固定资产投</w:t>
      </w:r>
      <w:r>
        <w:rPr>
          <w:rFonts w:hint="eastAsia" w:ascii="仿宋_GB2312" w:hAnsi="仿宋_GB2312" w:eastAsia="仿宋_GB2312" w:cs="仿宋_GB2312"/>
          <w:color w:val="auto"/>
          <w:sz w:val="32"/>
          <w:szCs w:val="32"/>
          <w:lang w:eastAsia="zh-CN"/>
        </w:rPr>
        <w:t>资</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%给予最高不超过</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00万元的一次性补助。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六</w:t>
      </w:r>
      <w:r>
        <w:rPr>
          <w:rFonts w:hint="eastAsia" w:ascii="黑体" w:hAnsi="黑体" w:eastAsia="黑体" w:cs="黑体"/>
          <w:b w:val="0"/>
          <w:bCs w:val="0"/>
          <w:color w:val="auto"/>
          <w:sz w:val="32"/>
          <w:szCs w:val="32"/>
        </w:rPr>
        <w:t>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color w:val="auto"/>
          <w:sz w:val="32"/>
          <w:szCs w:val="32"/>
        </w:rPr>
        <w:t>以商招商</w:t>
      </w:r>
      <w:r>
        <w:rPr>
          <w:rFonts w:hint="eastAsia" w:ascii="仿宋_GB2312" w:hAnsi="仿宋_GB2312" w:eastAsia="仿宋_GB2312" w:cs="仿宋_GB2312"/>
          <w:color w:val="auto"/>
          <w:sz w:val="32"/>
          <w:szCs w:val="32"/>
          <w:lang w:eastAsia="zh-CN"/>
        </w:rPr>
        <w:t>扶持</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内企业引进具有独立法人资格且投资额5000万元以上的配套项目，完善产业链上下游</w:t>
      </w:r>
      <w:r>
        <w:rPr>
          <w:rFonts w:hint="eastAsia" w:ascii="仿宋_GB2312" w:hAnsi="仿宋_GB2312" w:eastAsia="仿宋_GB2312" w:cs="仿宋_GB2312"/>
          <w:color w:val="auto"/>
          <w:sz w:val="32"/>
          <w:szCs w:val="32"/>
          <w:lang w:eastAsia="zh-CN"/>
        </w:rPr>
        <w:t>，按新引进项目给予招商</w:t>
      </w:r>
      <w:r>
        <w:rPr>
          <w:rFonts w:hint="eastAsia" w:ascii="仿宋_GB2312" w:hAnsi="仿宋_GB2312" w:eastAsia="仿宋_GB2312" w:cs="仿宋_GB2312"/>
          <w:color w:val="auto"/>
          <w:sz w:val="32"/>
          <w:szCs w:val="32"/>
        </w:rPr>
        <w:t>方最高</w:t>
      </w:r>
      <w:r>
        <w:rPr>
          <w:rFonts w:hint="eastAsia" w:ascii="仿宋_GB2312" w:hAnsi="仿宋_GB2312" w:eastAsia="仿宋_GB2312" w:cs="仿宋_GB2312"/>
          <w:color w:val="auto"/>
          <w:sz w:val="32"/>
          <w:szCs w:val="32"/>
          <w:lang w:eastAsia="zh-CN"/>
        </w:rPr>
        <w:t>不超过</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00万元奖励。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lang w:val="en-US" w:eastAsia="zh-CN"/>
        </w:rPr>
        <w:t>第七条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b w:val="0"/>
          <w:bCs w:val="0"/>
          <w:color w:val="auto"/>
          <w:sz w:val="32"/>
          <w:szCs w:val="32"/>
          <w:lang w:val="en-US" w:eastAsia="zh-CN"/>
        </w:rPr>
        <w:t>基础设施建设扶持。</w:t>
      </w:r>
      <w:r>
        <w:rPr>
          <w:rFonts w:hint="eastAsia" w:ascii="仿宋_GB2312" w:hAnsi="仿宋_GB2312" w:eastAsia="仿宋_GB2312" w:cs="仿宋_GB2312"/>
          <w:b w:val="0"/>
          <w:bCs w:val="0"/>
          <w:color w:val="auto"/>
          <w:sz w:val="32"/>
          <w:szCs w:val="32"/>
          <w:lang w:val="en-US"/>
        </w:rPr>
        <w:t>企业</w:t>
      </w:r>
      <w:r>
        <w:rPr>
          <w:rFonts w:hint="eastAsia" w:ascii="仿宋_GB2312" w:hAnsi="仿宋_GB2312" w:eastAsia="仿宋_GB2312" w:cs="仿宋_GB2312"/>
          <w:b w:val="0"/>
          <w:bCs w:val="0"/>
          <w:color w:val="auto"/>
          <w:sz w:val="32"/>
          <w:szCs w:val="32"/>
          <w:lang w:val="en-US" w:eastAsia="zh-CN"/>
        </w:rPr>
        <w:t>通过</w:t>
      </w:r>
      <w:r>
        <w:rPr>
          <w:rFonts w:hint="eastAsia" w:ascii="仿宋_GB2312" w:hAnsi="仿宋_GB2312" w:eastAsia="仿宋_GB2312" w:cs="仿宋_GB2312"/>
          <w:b w:val="0"/>
          <w:bCs w:val="0"/>
          <w:color w:val="auto"/>
          <w:sz w:val="32"/>
          <w:szCs w:val="32"/>
          <w:lang w:val="en-US"/>
        </w:rPr>
        <w:t>招拍挂取得用地并自建生产厂房</w:t>
      </w:r>
      <w:r>
        <w:rPr>
          <w:rFonts w:hint="eastAsia" w:ascii="仿宋_GB2312" w:hAnsi="仿宋_GB2312" w:eastAsia="仿宋_GB2312" w:cs="仿宋_GB2312"/>
          <w:b w:val="0"/>
          <w:bCs w:val="0"/>
          <w:color w:val="auto"/>
          <w:sz w:val="32"/>
          <w:szCs w:val="32"/>
          <w:lang w:val="en-US" w:eastAsia="zh-CN"/>
        </w:rPr>
        <w:t>的</w:t>
      </w:r>
      <w:r>
        <w:rPr>
          <w:rFonts w:hint="eastAsia" w:ascii="仿宋_GB2312" w:hAnsi="仿宋_GB2312" w:eastAsia="仿宋_GB2312" w:cs="仿宋_GB2312"/>
          <w:b w:val="0"/>
          <w:bCs w:val="0"/>
          <w:color w:val="auto"/>
          <w:sz w:val="32"/>
          <w:szCs w:val="32"/>
          <w:lang w:val="en-US"/>
        </w:rPr>
        <w:t>，</w:t>
      </w:r>
      <w:r>
        <w:rPr>
          <w:rFonts w:hint="eastAsia" w:ascii="仿宋_GB2312" w:hAnsi="仿宋_GB2312" w:eastAsia="仿宋_GB2312" w:cs="仿宋_GB2312"/>
          <w:b w:val="0"/>
          <w:bCs w:val="0"/>
          <w:color w:val="auto"/>
          <w:sz w:val="32"/>
          <w:szCs w:val="32"/>
          <w:lang w:val="en-US" w:eastAsia="zh-CN"/>
        </w:rPr>
        <w:t>优先保障项目用地需</w:t>
      </w:r>
      <w:r>
        <w:rPr>
          <w:rFonts w:hint="eastAsia" w:ascii="仿宋_GB2312" w:hAnsi="仿宋_GB2312" w:eastAsia="仿宋_GB2312" w:cs="仿宋_GB2312"/>
          <w:b w:val="0"/>
          <w:bCs w:val="0"/>
          <w:color w:val="auto"/>
          <w:sz w:val="32"/>
          <w:szCs w:val="32"/>
        </w:rPr>
        <w:t>求，</w:t>
      </w:r>
      <w:r>
        <w:rPr>
          <w:rFonts w:hint="eastAsia" w:ascii="仿宋_GB2312" w:hAnsi="仿宋_GB2312" w:eastAsia="仿宋_GB2312" w:cs="仿宋_GB2312"/>
          <w:b w:val="0"/>
          <w:bCs w:val="0"/>
          <w:color w:val="auto"/>
          <w:sz w:val="32"/>
          <w:szCs w:val="32"/>
          <w:lang w:eastAsia="zh-CN"/>
        </w:rPr>
        <w:t>为促进</w:t>
      </w:r>
      <w:r>
        <w:rPr>
          <w:rFonts w:hint="eastAsia" w:ascii="仿宋_GB2312" w:hAnsi="仿宋_GB2312" w:eastAsia="仿宋_GB2312" w:cs="仿宋_GB2312"/>
          <w:b w:val="0"/>
          <w:bCs w:val="0"/>
          <w:color w:val="auto"/>
          <w:sz w:val="32"/>
          <w:szCs w:val="32"/>
        </w:rPr>
        <w:t>企业加快建设，按用地面积给予70元/平方米的基础设施建设</w:t>
      </w:r>
      <w:r>
        <w:rPr>
          <w:rFonts w:hint="eastAsia" w:ascii="仿宋_GB2312" w:hAnsi="仿宋_GB2312" w:eastAsia="仿宋_GB2312" w:cs="仿宋_GB2312"/>
          <w:b w:val="0"/>
          <w:bCs w:val="0"/>
          <w:color w:val="auto"/>
          <w:sz w:val="32"/>
          <w:szCs w:val="32"/>
          <w:lang w:eastAsia="zh-CN"/>
        </w:rPr>
        <w:t>扶持</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八</w:t>
      </w:r>
      <w:r>
        <w:rPr>
          <w:rFonts w:hint="eastAsia" w:ascii="黑体" w:hAnsi="黑体" w:eastAsia="黑体" w:cs="黑体"/>
          <w:b w:val="0"/>
          <w:bCs w:val="0"/>
          <w:color w:val="auto"/>
          <w:sz w:val="32"/>
          <w:szCs w:val="32"/>
        </w:rPr>
        <w:t>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b w:val="0"/>
          <w:bCs w:val="0"/>
          <w:color w:val="auto"/>
          <w:sz w:val="32"/>
          <w:szCs w:val="32"/>
        </w:rPr>
        <w:t>厂房租金</w:t>
      </w:r>
      <w:r>
        <w:rPr>
          <w:rFonts w:hint="eastAsia" w:ascii="仿宋_GB2312" w:hAnsi="仿宋_GB2312" w:eastAsia="仿宋_GB2312" w:cs="仿宋_GB2312"/>
          <w:b w:val="0"/>
          <w:bCs w:val="0"/>
          <w:color w:val="auto"/>
          <w:sz w:val="32"/>
          <w:szCs w:val="32"/>
          <w:lang w:eastAsia="zh-CN"/>
        </w:rPr>
        <w:t>扶持。</w:t>
      </w:r>
      <w:r>
        <w:rPr>
          <w:rFonts w:hint="eastAsia" w:ascii="仿宋_GB2312" w:hAnsi="仿宋_GB2312" w:eastAsia="仿宋_GB2312" w:cs="仿宋_GB2312"/>
          <w:b w:val="0"/>
          <w:bCs w:val="0"/>
          <w:color w:val="auto"/>
          <w:sz w:val="32"/>
          <w:szCs w:val="32"/>
          <w:lang w:val="en-US"/>
        </w:rPr>
        <w:t>对租赁园区标准厂房</w:t>
      </w:r>
      <w:r>
        <w:rPr>
          <w:rFonts w:hint="eastAsia" w:ascii="仿宋_GB2312" w:hAnsi="仿宋_GB2312" w:eastAsia="仿宋_GB2312" w:cs="仿宋_GB2312"/>
          <w:b w:val="0"/>
          <w:bCs w:val="0"/>
          <w:color w:val="auto"/>
          <w:sz w:val="32"/>
          <w:szCs w:val="32"/>
          <w:lang w:val="en-US" w:eastAsia="zh-CN"/>
        </w:rPr>
        <w:t>进行</w:t>
      </w:r>
      <w:r>
        <w:rPr>
          <w:rFonts w:hint="eastAsia" w:ascii="仿宋_GB2312" w:hAnsi="仿宋_GB2312" w:eastAsia="仿宋_GB2312" w:cs="仿宋_GB2312"/>
          <w:b w:val="0"/>
          <w:bCs w:val="0"/>
          <w:color w:val="auto"/>
          <w:sz w:val="32"/>
          <w:szCs w:val="32"/>
          <w:lang w:val="en-US"/>
        </w:rPr>
        <w:t>生产经营</w:t>
      </w:r>
      <w:r>
        <w:rPr>
          <w:rFonts w:hint="eastAsia" w:ascii="仿宋_GB2312" w:hAnsi="仿宋_GB2312" w:eastAsia="仿宋_GB2312" w:cs="仿宋_GB2312"/>
          <w:b w:val="0"/>
          <w:bCs w:val="0"/>
          <w:color w:val="auto"/>
          <w:sz w:val="32"/>
          <w:szCs w:val="32"/>
          <w:lang w:val="en-US" w:eastAsia="zh-CN"/>
        </w:rPr>
        <w:t>的</w:t>
      </w:r>
      <w:r>
        <w:rPr>
          <w:rFonts w:hint="eastAsia" w:ascii="仿宋_GB2312" w:hAnsi="仿宋_GB2312" w:eastAsia="仿宋_GB2312" w:cs="仿宋_GB2312"/>
          <w:b w:val="0"/>
          <w:bCs w:val="0"/>
          <w:color w:val="auto"/>
          <w:sz w:val="32"/>
          <w:szCs w:val="32"/>
          <w:lang w:val="en-US"/>
        </w:rPr>
        <w:t>，厂房租赁实行“两免</w:t>
      </w:r>
      <w:r>
        <w:rPr>
          <w:rFonts w:hint="eastAsia" w:ascii="仿宋_GB2312" w:hAnsi="仿宋_GB2312" w:eastAsia="仿宋_GB2312" w:cs="仿宋_GB2312"/>
          <w:b w:val="0"/>
          <w:bCs w:val="0"/>
          <w:color w:val="auto"/>
          <w:sz w:val="32"/>
          <w:szCs w:val="32"/>
          <w:lang w:val="en-US" w:eastAsia="zh-CN"/>
        </w:rPr>
        <w:t>两</w:t>
      </w:r>
      <w:r>
        <w:rPr>
          <w:rFonts w:hint="eastAsia" w:ascii="仿宋_GB2312" w:hAnsi="仿宋_GB2312" w:eastAsia="仿宋_GB2312" w:cs="仿宋_GB2312"/>
          <w:b w:val="0"/>
          <w:bCs w:val="0"/>
          <w:color w:val="auto"/>
          <w:sz w:val="32"/>
          <w:szCs w:val="32"/>
          <w:lang w:val="en-US"/>
        </w:rPr>
        <w:t>减半”，即前两年免租金，后</w:t>
      </w:r>
      <w:r>
        <w:rPr>
          <w:rFonts w:hint="eastAsia" w:ascii="仿宋_GB2312" w:hAnsi="仿宋_GB2312" w:eastAsia="仿宋_GB2312" w:cs="仿宋_GB2312"/>
          <w:b w:val="0"/>
          <w:bCs w:val="0"/>
          <w:color w:val="auto"/>
          <w:sz w:val="32"/>
          <w:szCs w:val="32"/>
          <w:lang w:val="en-US" w:eastAsia="zh-CN"/>
        </w:rPr>
        <w:t>两</w:t>
      </w:r>
      <w:r>
        <w:rPr>
          <w:rFonts w:hint="eastAsia" w:ascii="仿宋_GB2312" w:hAnsi="仿宋_GB2312" w:eastAsia="仿宋_GB2312" w:cs="仿宋_GB2312"/>
          <w:b w:val="0"/>
          <w:bCs w:val="0"/>
          <w:color w:val="auto"/>
          <w:sz w:val="32"/>
          <w:szCs w:val="32"/>
          <w:lang w:val="en-US"/>
        </w:rPr>
        <w:t>年减半收取（前</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val="en-US"/>
        </w:rPr>
        <w:t>年租金为1</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lang w:val="en-US"/>
        </w:rPr>
        <w:t>元/平方米/月）</w:t>
      </w:r>
      <w:r>
        <w:rPr>
          <w:rFonts w:hint="eastAsia" w:ascii="仿宋_GB2312" w:hAnsi="仿宋_GB2312" w:eastAsia="仿宋_GB2312" w:cs="仿宋_GB2312"/>
          <w:b w:val="0"/>
          <w:bCs w:val="0"/>
          <w:color w:val="auto"/>
          <w:sz w:val="32"/>
          <w:szCs w:val="32"/>
          <w:lang w:val="en-US" w:eastAsia="zh-CN"/>
        </w:rPr>
        <w:t>，第5—10年厂房租金30元/平方米/月，第11年起按市场价确定。支持企业自第5年起用2年时间按建设审计结算价回购土地及厂房，每年回购50%。</w:t>
      </w:r>
    </w:p>
    <w:p>
      <w:pPr>
        <w:keepNext w:val="0"/>
        <w:keepLines w:val="0"/>
        <w:pageBreakBefore w:val="0"/>
        <w:widowControl w:val="0"/>
        <w:kinsoku/>
        <w:wordWrap/>
        <w:overflowPunct/>
        <w:topLinePunct w:val="0"/>
        <w:bidi w:val="0"/>
        <w:snapToGrid/>
        <w:spacing w:line="240" w:lineRule="auto"/>
        <w:ind w:firstLine="640" w:firstLineChars="200"/>
        <w:textAlignment w:val="baseline"/>
        <w:rPr>
          <w:rFonts w:hint="eastAsia" w:ascii="仿宋_GB2312" w:hAnsi="仿宋_GB2312" w:eastAsia="仿宋_GB2312" w:cs="仿宋_GB2312"/>
          <w:bCs/>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九</w:t>
      </w:r>
      <w:r>
        <w:rPr>
          <w:rFonts w:hint="eastAsia" w:ascii="黑体" w:hAnsi="黑体" w:eastAsia="黑体" w:cs="黑体"/>
          <w:b w:val="0"/>
          <w:bCs w:val="0"/>
          <w:color w:val="auto"/>
          <w:sz w:val="32"/>
          <w:szCs w:val="32"/>
        </w:rPr>
        <w:t>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b w:val="0"/>
          <w:bCs w:val="0"/>
          <w:color w:val="auto"/>
          <w:sz w:val="32"/>
          <w:szCs w:val="32"/>
          <w:lang w:eastAsia="zh-CN"/>
        </w:rPr>
        <w:t>搬迁扶持。</w:t>
      </w:r>
      <w:r>
        <w:rPr>
          <w:rFonts w:hint="eastAsia" w:ascii="仿宋_GB2312" w:hAnsi="仿宋_GB2312" w:eastAsia="仿宋_GB2312" w:cs="仿宋_GB2312"/>
          <w:bCs/>
          <w:color w:val="auto"/>
          <w:sz w:val="32"/>
          <w:szCs w:val="32"/>
        </w:rPr>
        <w:t>对企业异地搬迁原有生产设备到西畴</w:t>
      </w:r>
      <w:r>
        <w:rPr>
          <w:rFonts w:hint="eastAsia" w:ascii="仿宋_GB2312" w:hAnsi="仿宋_GB2312" w:eastAsia="仿宋_GB2312" w:cs="仿宋_GB2312"/>
          <w:bCs/>
          <w:color w:val="auto"/>
          <w:sz w:val="32"/>
          <w:szCs w:val="32"/>
          <w:lang w:val="en-US"/>
        </w:rPr>
        <w:t>县内</w:t>
      </w:r>
      <w:r>
        <w:rPr>
          <w:rFonts w:hint="eastAsia" w:ascii="仿宋_GB2312" w:hAnsi="仿宋_GB2312" w:eastAsia="仿宋_GB2312" w:cs="仿宋_GB2312"/>
          <w:bCs/>
          <w:color w:val="auto"/>
          <w:sz w:val="32"/>
          <w:szCs w:val="32"/>
        </w:rPr>
        <w:t>生产的，按搬迁费用总金额给予</w:t>
      </w:r>
      <w:r>
        <w:rPr>
          <w:rFonts w:hint="eastAsia" w:ascii="仿宋_GB2312" w:hAnsi="仿宋_GB2312" w:eastAsia="仿宋_GB2312" w:cs="仿宋_GB2312"/>
          <w:bCs/>
          <w:color w:val="auto"/>
          <w:sz w:val="32"/>
          <w:szCs w:val="32"/>
          <w:lang w:val="en-US"/>
        </w:rPr>
        <w:t>2</w:t>
      </w:r>
      <w:r>
        <w:rPr>
          <w:rFonts w:hint="eastAsia" w:ascii="仿宋_GB2312" w:hAnsi="仿宋_GB2312" w:eastAsia="仿宋_GB2312" w:cs="仿宋_GB2312"/>
          <w:bCs/>
          <w:color w:val="auto"/>
          <w:sz w:val="32"/>
          <w:szCs w:val="32"/>
        </w:rPr>
        <w:t>0%的扶持，单个企业最高补助额不超过</w:t>
      </w:r>
      <w:r>
        <w:rPr>
          <w:rFonts w:hint="eastAsia" w:ascii="仿宋_GB2312" w:hAnsi="仿宋_GB2312" w:eastAsia="仿宋_GB2312" w:cs="仿宋_GB2312"/>
          <w:bCs/>
          <w:color w:val="auto"/>
          <w:sz w:val="32"/>
          <w:szCs w:val="32"/>
          <w:lang w:val="en-US"/>
        </w:rPr>
        <w:t>1</w:t>
      </w:r>
      <w:r>
        <w:rPr>
          <w:rFonts w:hint="eastAsia" w:ascii="仿宋_GB2312" w:hAnsi="仿宋_GB2312" w:eastAsia="仿宋_GB2312" w:cs="仿宋_GB2312"/>
          <w:bCs/>
          <w:color w:val="auto"/>
          <w:sz w:val="32"/>
          <w:szCs w:val="32"/>
        </w:rPr>
        <w:t>00万元。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十</w:t>
      </w:r>
      <w:r>
        <w:rPr>
          <w:rFonts w:hint="eastAsia" w:ascii="黑体" w:hAnsi="黑体" w:eastAsia="黑体" w:cs="黑体"/>
          <w:b w:val="0"/>
          <w:bCs w:val="0"/>
          <w:color w:val="auto"/>
          <w:sz w:val="32"/>
          <w:szCs w:val="32"/>
        </w:rPr>
        <w:t>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b w:val="0"/>
          <w:bCs/>
          <w:i w:val="0"/>
          <w:caps w:val="0"/>
          <w:color w:val="auto"/>
          <w:spacing w:val="0"/>
          <w:w w:val="100"/>
          <w:sz w:val="32"/>
          <w:szCs w:val="32"/>
          <w:lang w:val="en-US" w:eastAsia="zh-CN"/>
        </w:rPr>
        <w:t>无尘车间建设补贴。</w:t>
      </w:r>
      <w:r>
        <w:rPr>
          <w:rFonts w:hint="eastAsia" w:ascii="仿宋_GB2312" w:hAnsi="仿宋_GB2312" w:eastAsia="仿宋_GB2312" w:cs="仿宋_GB2312"/>
          <w:i w:val="0"/>
          <w:iCs w:val="0"/>
          <w:caps w:val="0"/>
          <w:color w:val="auto"/>
          <w:spacing w:val="0"/>
          <w:sz w:val="32"/>
          <w:szCs w:val="32"/>
          <w:shd w:val="clear" w:fill="FFFFFF"/>
        </w:rPr>
        <w:t>给予企业自建自用或租赁</w:t>
      </w:r>
      <w:r>
        <w:rPr>
          <w:rFonts w:hint="eastAsia" w:ascii="仿宋_GB2312" w:hAnsi="仿宋_GB2312" w:eastAsia="仿宋_GB2312" w:cs="仿宋_GB2312"/>
          <w:i w:val="0"/>
          <w:iCs w:val="0"/>
          <w:caps w:val="0"/>
          <w:color w:val="auto"/>
          <w:spacing w:val="0"/>
          <w:sz w:val="32"/>
          <w:szCs w:val="32"/>
          <w:shd w:val="clear" w:fill="FFFFFF"/>
          <w:lang w:eastAsia="zh-CN"/>
        </w:rPr>
        <w:t>园区</w:t>
      </w:r>
      <w:r>
        <w:rPr>
          <w:rFonts w:hint="eastAsia" w:ascii="仿宋_GB2312" w:hAnsi="仿宋_GB2312" w:eastAsia="仿宋_GB2312" w:cs="仿宋_GB2312"/>
          <w:i w:val="0"/>
          <w:iCs w:val="0"/>
          <w:caps w:val="0"/>
          <w:color w:val="auto"/>
          <w:spacing w:val="0"/>
          <w:sz w:val="32"/>
          <w:szCs w:val="32"/>
          <w:shd w:val="clear" w:fill="FFFFFF"/>
        </w:rPr>
        <w:t>标准化厂房净化工程</w:t>
      </w:r>
      <w:r>
        <w:rPr>
          <w:rFonts w:hint="eastAsia" w:ascii="仿宋_GB2312" w:hAnsi="仿宋_GB2312" w:eastAsia="仿宋_GB2312" w:cs="仿宋_GB2312"/>
          <w:i w:val="0"/>
          <w:iCs w:val="0"/>
          <w:caps w:val="0"/>
          <w:color w:val="auto"/>
          <w:spacing w:val="0"/>
          <w:sz w:val="32"/>
          <w:szCs w:val="32"/>
          <w:shd w:val="clear" w:fill="FFFFFF"/>
          <w:lang w:val="en-US" w:eastAsia="zh-CN"/>
        </w:rPr>
        <w:t>资金</w:t>
      </w:r>
      <w:r>
        <w:rPr>
          <w:rFonts w:hint="eastAsia" w:ascii="仿宋_GB2312" w:hAnsi="仿宋_GB2312" w:eastAsia="仿宋_GB2312" w:cs="仿宋_GB2312"/>
          <w:i w:val="0"/>
          <w:iCs w:val="0"/>
          <w:caps w:val="0"/>
          <w:color w:val="auto"/>
          <w:spacing w:val="0"/>
          <w:sz w:val="32"/>
          <w:szCs w:val="32"/>
          <w:shd w:val="clear" w:fill="FFFFFF"/>
        </w:rPr>
        <w:t>支持，按照万级、千级、百级不同标准执行</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厂房装修完成验收合格运行1年后给予补贴</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其中万级无尘车间厂房补贴</w:t>
      </w: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00元/平方米，每提高一个级别，增加50元/平方米的补贴，</w:t>
      </w:r>
      <w:r>
        <w:rPr>
          <w:rFonts w:hint="eastAsia" w:ascii="仿宋_GB2312" w:hAnsi="仿宋_GB2312" w:eastAsia="仿宋_GB2312" w:cs="仿宋_GB2312"/>
          <w:i w:val="0"/>
          <w:iCs w:val="0"/>
          <w:caps w:val="0"/>
          <w:color w:val="auto"/>
          <w:spacing w:val="0"/>
          <w:sz w:val="32"/>
          <w:szCs w:val="32"/>
          <w:shd w:val="clear" w:fill="FFFFFF"/>
          <w:lang w:eastAsia="zh-CN"/>
        </w:rPr>
        <w:t>单个企业装修扶持资金</w:t>
      </w:r>
      <w:r>
        <w:rPr>
          <w:rFonts w:hint="eastAsia" w:ascii="仿宋_GB2312" w:hAnsi="仿宋_GB2312" w:eastAsia="仿宋_GB2312" w:cs="仿宋_GB2312"/>
          <w:i w:val="0"/>
          <w:iCs w:val="0"/>
          <w:caps w:val="0"/>
          <w:color w:val="auto"/>
          <w:spacing w:val="0"/>
          <w:sz w:val="32"/>
          <w:szCs w:val="32"/>
          <w:shd w:val="clear" w:fill="FFFFFF"/>
        </w:rPr>
        <w:t>不超过</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00万元</w:t>
      </w:r>
      <w:r>
        <w:rPr>
          <w:rFonts w:hint="eastAsia" w:ascii="仿宋_GB2312" w:hAnsi="仿宋_GB2312" w:eastAsia="仿宋_GB2312" w:cs="仿宋_GB2312"/>
          <w:i w:val="0"/>
          <w:iCs w:val="0"/>
          <w:caps w:val="0"/>
          <w:color w:val="auto"/>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lang w:eastAsia="zh-CN"/>
        </w:rPr>
        <w:t>第十一条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color w:val="auto"/>
          <w:sz w:val="32"/>
          <w:szCs w:val="32"/>
        </w:rPr>
        <w:t>加强企业梯度培育。对年销售收入首次突破2000万元并成功入库的规模以上企业，给予</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万元一次性补贴；对首次认定的种子企业、准独角兽企业、独角兽企业分别给予20万元、</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0万元、</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0万元的一次性奖励；对首次认定通过和新引进的国家级高新技术企业给予20万元补助，对</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年后重新认定通过的国家高新技术企业给予10万元补助。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第十</w:t>
      </w:r>
      <w:r>
        <w:rPr>
          <w:rFonts w:hint="eastAsia" w:ascii="黑体" w:hAnsi="黑体" w:eastAsia="黑体" w:cs="黑体"/>
          <w:b w:val="0"/>
          <w:bCs w:val="0"/>
          <w:color w:val="auto"/>
          <w:sz w:val="32"/>
          <w:szCs w:val="32"/>
          <w:lang w:eastAsia="zh-CN"/>
        </w:rPr>
        <w:t>二</w:t>
      </w:r>
      <w:r>
        <w:rPr>
          <w:rFonts w:hint="eastAsia" w:ascii="黑体" w:hAnsi="黑体" w:eastAsia="黑体" w:cs="黑体"/>
          <w:b w:val="0"/>
          <w:bCs w:val="0"/>
          <w:color w:val="auto"/>
          <w:sz w:val="32"/>
          <w:szCs w:val="32"/>
        </w:rPr>
        <w:t>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color w:val="auto"/>
          <w:sz w:val="32"/>
          <w:szCs w:val="32"/>
        </w:rPr>
        <w:t>上市（挂牌）</w:t>
      </w:r>
      <w:r>
        <w:rPr>
          <w:rFonts w:hint="eastAsia" w:ascii="仿宋_GB2312" w:hAnsi="仿宋_GB2312" w:eastAsia="仿宋_GB2312" w:cs="仿宋_GB2312"/>
          <w:color w:val="auto"/>
          <w:sz w:val="32"/>
          <w:szCs w:val="32"/>
          <w:lang w:eastAsia="zh-CN"/>
        </w:rPr>
        <w:t>扶持</w:t>
      </w:r>
      <w:r>
        <w:rPr>
          <w:rFonts w:hint="eastAsia" w:ascii="仿宋_GB2312" w:hAnsi="仿宋_GB2312" w:eastAsia="仿宋_GB2312" w:cs="仿宋_GB2312"/>
          <w:color w:val="auto"/>
          <w:sz w:val="32"/>
          <w:szCs w:val="32"/>
        </w:rPr>
        <w:t>。对成功在主板、中小板、创业板、科创板首次公开发行股票（IPO）的企业，分别给予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00万元、50万元、30万元、</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0万元的奖励。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bidi w:val="0"/>
        <w:snapToGrid/>
        <w:spacing w:line="240" w:lineRule="auto"/>
        <w:ind w:firstLine="640" w:firstLineChars="200"/>
        <w:textAlignment w:val="baseline"/>
        <w:rPr>
          <w:rFonts w:hint="eastAsia" w:ascii="黑体" w:hAnsi="黑体" w:eastAsia="黑体" w:cs="黑体"/>
          <w:b w:val="0"/>
          <w:bCs/>
          <w:color w:val="auto"/>
          <w:sz w:val="32"/>
          <w:szCs w:val="32"/>
          <w:lang w:val="en-US"/>
        </w:rPr>
      </w:pPr>
      <w:r>
        <w:rPr>
          <w:rFonts w:hint="eastAsia" w:ascii="黑体" w:hAnsi="黑体" w:eastAsia="黑体" w:cs="黑体"/>
          <w:b w:val="0"/>
          <w:bCs/>
          <w:color w:val="auto"/>
          <w:sz w:val="32"/>
          <w:szCs w:val="32"/>
          <w:lang w:val="en-US"/>
        </w:rPr>
        <w:t>（二）对高新电子科技企业全产业链入驻的扶持</w:t>
      </w:r>
    </w:p>
    <w:p>
      <w:pPr>
        <w:keepNext w:val="0"/>
        <w:keepLines w:val="0"/>
        <w:pageBreakBefore w:val="0"/>
        <w:widowControl w:val="0"/>
        <w:kinsoku/>
        <w:wordWrap/>
        <w:overflowPunct/>
        <w:topLinePunct w:val="0"/>
        <w:bidi w:val="0"/>
        <w:snapToGrid/>
        <w:spacing w:line="240" w:lineRule="auto"/>
        <w:ind w:firstLine="640" w:firstLineChars="200"/>
        <w:textAlignment w:val="baseline"/>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符合本政策第一条确定的行业企业，</w:t>
      </w:r>
      <w:r>
        <w:rPr>
          <w:rFonts w:hint="eastAsia" w:ascii="仿宋_GB2312" w:hAnsi="仿宋_GB2312" w:eastAsia="仿宋_GB2312" w:cs="仿宋_GB2312"/>
          <w:color w:val="auto"/>
          <w:sz w:val="32"/>
          <w:szCs w:val="32"/>
          <w:lang w:eastAsia="zh-CN"/>
        </w:rPr>
        <w:t>以</w:t>
      </w:r>
      <w:r>
        <w:rPr>
          <w:rFonts w:hint="eastAsia" w:ascii="仿宋_GB2312" w:hAnsi="仿宋_GB2312" w:eastAsia="仿宋_GB2312" w:cs="仿宋_GB2312"/>
          <w:b w:val="0"/>
          <w:bCs/>
          <w:color w:val="auto"/>
          <w:sz w:val="32"/>
          <w:szCs w:val="32"/>
        </w:rPr>
        <w:t>产业链整体进入，发挥链长的统筹协调作用，</w:t>
      </w:r>
      <w:r>
        <w:rPr>
          <w:rFonts w:hint="eastAsia" w:ascii="仿宋_GB2312" w:hAnsi="仿宋_GB2312" w:eastAsia="仿宋_GB2312" w:cs="仿宋_GB2312"/>
          <w:bCs/>
          <w:color w:val="auto"/>
          <w:sz w:val="32"/>
          <w:szCs w:val="32"/>
        </w:rPr>
        <w:t>第</w:t>
      </w:r>
      <w:r>
        <w:rPr>
          <w:rFonts w:hint="eastAsia" w:ascii="仿宋_GB2312" w:hAnsi="仿宋_GB2312" w:eastAsia="仿宋_GB2312" w:cs="仿宋_GB2312"/>
          <w:bCs/>
          <w:color w:val="auto"/>
          <w:sz w:val="32"/>
          <w:szCs w:val="32"/>
          <w:lang w:val="en-US"/>
        </w:rPr>
        <w:t>1</w:t>
      </w:r>
      <w:r>
        <w:rPr>
          <w:rFonts w:hint="eastAsia" w:ascii="仿宋_GB2312" w:hAnsi="仿宋_GB2312" w:eastAsia="仿宋_GB2312" w:cs="仿宋_GB2312"/>
          <w:bCs/>
          <w:color w:val="auto"/>
          <w:sz w:val="32"/>
          <w:szCs w:val="32"/>
        </w:rPr>
        <w:t>年综合营业收入达10亿元人民币，综合税收</w:t>
      </w:r>
      <w:r>
        <w:rPr>
          <w:rFonts w:hint="eastAsia" w:ascii="仿宋_GB2312" w:hAnsi="仿宋_GB2312" w:eastAsia="仿宋_GB2312" w:cs="仿宋_GB2312"/>
          <w:bCs/>
          <w:color w:val="auto"/>
          <w:sz w:val="32"/>
          <w:szCs w:val="32"/>
          <w:lang w:val="en-US"/>
        </w:rPr>
        <w:t>30</w:t>
      </w:r>
      <w:r>
        <w:rPr>
          <w:rFonts w:hint="eastAsia" w:ascii="仿宋_GB2312" w:hAnsi="仿宋_GB2312" w:eastAsia="仿宋_GB2312" w:cs="仿宋_GB2312"/>
          <w:bCs/>
          <w:color w:val="auto"/>
          <w:sz w:val="32"/>
          <w:szCs w:val="32"/>
        </w:rPr>
        <w:t>00万元人民币以上；第</w:t>
      </w:r>
      <w:r>
        <w:rPr>
          <w:rFonts w:hint="eastAsia" w:ascii="仿宋_GB2312" w:hAnsi="仿宋_GB2312" w:eastAsia="仿宋_GB2312" w:cs="仿宋_GB2312"/>
          <w:bCs/>
          <w:color w:val="auto"/>
          <w:sz w:val="32"/>
          <w:szCs w:val="32"/>
          <w:lang w:val="en-US"/>
        </w:rPr>
        <w:t>2</w:t>
      </w:r>
      <w:r>
        <w:rPr>
          <w:rFonts w:hint="eastAsia" w:ascii="仿宋_GB2312" w:hAnsi="仿宋_GB2312" w:eastAsia="仿宋_GB2312" w:cs="仿宋_GB2312"/>
          <w:bCs/>
          <w:color w:val="auto"/>
          <w:sz w:val="32"/>
          <w:szCs w:val="32"/>
        </w:rPr>
        <w:t>年综合营业收入</w:t>
      </w:r>
      <w:r>
        <w:rPr>
          <w:rFonts w:hint="eastAsia" w:ascii="仿宋_GB2312" w:hAnsi="仿宋_GB2312" w:eastAsia="仿宋_GB2312" w:cs="仿宋_GB2312"/>
          <w:bCs/>
          <w:color w:val="auto"/>
          <w:sz w:val="32"/>
          <w:szCs w:val="32"/>
          <w:lang w:val="en-US"/>
        </w:rPr>
        <w:t>30</w:t>
      </w:r>
      <w:r>
        <w:rPr>
          <w:rFonts w:hint="eastAsia" w:ascii="仿宋_GB2312" w:hAnsi="仿宋_GB2312" w:eastAsia="仿宋_GB2312" w:cs="仿宋_GB2312"/>
          <w:bCs/>
          <w:color w:val="auto"/>
          <w:sz w:val="32"/>
          <w:szCs w:val="32"/>
        </w:rPr>
        <w:t>亿元人民币以上，综合税收</w:t>
      </w:r>
      <w:r>
        <w:rPr>
          <w:rFonts w:hint="eastAsia" w:ascii="仿宋_GB2312" w:hAnsi="仿宋_GB2312" w:eastAsia="仿宋_GB2312" w:cs="仿宋_GB2312"/>
          <w:bCs/>
          <w:color w:val="auto"/>
          <w:sz w:val="32"/>
          <w:szCs w:val="32"/>
          <w:lang w:val="en-US"/>
        </w:rPr>
        <w:t>9000</w:t>
      </w:r>
      <w:r>
        <w:rPr>
          <w:rFonts w:hint="eastAsia" w:ascii="仿宋_GB2312" w:hAnsi="仿宋_GB2312" w:eastAsia="仿宋_GB2312" w:cs="仿宋_GB2312"/>
          <w:bCs/>
          <w:color w:val="auto"/>
          <w:sz w:val="32"/>
          <w:szCs w:val="32"/>
        </w:rPr>
        <w:t>万元人民币以上；第</w:t>
      </w:r>
      <w:r>
        <w:rPr>
          <w:rFonts w:hint="eastAsia" w:ascii="仿宋_GB2312" w:hAnsi="仿宋_GB2312" w:eastAsia="仿宋_GB2312" w:cs="仿宋_GB2312"/>
          <w:bCs/>
          <w:color w:val="auto"/>
          <w:sz w:val="32"/>
          <w:szCs w:val="32"/>
          <w:lang w:val="en-US"/>
        </w:rPr>
        <w:t>3</w:t>
      </w:r>
      <w:r>
        <w:rPr>
          <w:rFonts w:hint="eastAsia" w:ascii="仿宋_GB2312" w:hAnsi="仿宋_GB2312" w:eastAsia="仿宋_GB2312" w:cs="仿宋_GB2312"/>
          <w:bCs/>
          <w:color w:val="auto"/>
          <w:sz w:val="32"/>
          <w:szCs w:val="32"/>
        </w:rPr>
        <w:t>年起每年的综合营业收入</w:t>
      </w:r>
      <w:r>
        <w:rPr>
          <w:rFonts w:hint="eastAsia" w:ascii="仿宋_GB2312" w:hAnsi="仿宋_GB2312" w:eastAsia="仿宋_GB2312" w:cs="仿宋_GB2312"/>
          <w:bCs/>
          <w:color w:val="auto"/>
          <w:sz w:val="32"/>
          <w:szCs w:val="32"/>
          <w:lang w:val="en-US"/>
        </w:rPr>
        <w:t>65</w:t>
      </w:r>
      <w:r>
        <w:rPr>
          <w:rFonts w:hint="eastAsia" w:ascii="仿宋_GB2312" w:hAnsi="仿宋_GB2312" w:eastAsia="仿宋_GB2312" w:cs="仿宋_GB2312"/>
          <w:bCs/>
          <w:color w:val="auto"/>
          <w:sz w:val="32"/>
          <w:szCs w:val="32"/>
        </w:rPr>
        <w:t>亿元以上，综合税收</w:t>
      </w:r>
      <w:r>
        <w:rPr>
          <w:rFonts w:hint="eastAsia" w:ascii="仿宋_GB2312" w:hAnsi="仿宋_GB2312" w:eastAsia="仿宋_GB2312" w:cs="仿宋_GB2312"/>
          <w:bCs/>
          <w:color w:val="auto"/>
          <w:sz w:val="32"/>
          <w:szCs w:val="32"/>
          <w:lang w:val="en-US"/>
        </w:rPr>
        <w:t>2亿</w:t>
      </w:r>
      <w:r>
        <w:rPr>
          <w:rFonts w:hint="eastAsia" w:ascii="仿宋_GB2312" w:hAnsi="仿宋_GB2312" w:eastAsia="仿宋_GB2312" w:cs="仿宋_GB2312"/>
          <w:bCs/>
          <w:color w:val="auto"/>
          <w:sz w:val="32"/>
          <w:szCs w:val="32"/>
        </w:rPr>
        <w:t>元人民币以上</w:t>
      </w:r>
      <w:r>
        <w:rPr>
          <w:rFonts w:hint="eastAsia" w:ascii="仿宋_GB2312" w:hAnsi="仿宋_GB2312" w:eastAsia="仿宋_GB2312" w:cs="仿宋_GB2312"/>
          <w:b w:val="0"/>
          <w:bCs/>
          <w:color w:val="auto"/>
          <w:sz w:val="32"/>
          <w:szCs w:val="32"/>
        </w:rPr>
        <w:t>，形成具有一定影响力的高新电子科技产业生态的，享受以下政策：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0" w:afterAutospacing="0" w:line="240" w:lineRule="auto"/>
        <w:ind w:left="0" w:right="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黑体" w:hAnsi="黑体" w:eastAsia="黑体" w:cs="黑体"/>
          <w:b w:val="0"/>
          <w:bCs/>
          <w:color w:val="auto"/>
          <w:sz w:val="32"/>
          <w:szCs w:val="32"/>
          <w:lang w:val="en-US"/>
        </w:rPr>
        <w:t>第十三条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b w:val="0"/>
          <w:bCs/>
          <w:color w:val="auto"/>
          <w:sz w:val="32"/>
          <w:szCs w:val="32"/>
        </w:rPr>
        <w:t>物流扶持。</w:t>
      </w:r>
      <w:r>
        <w:rPr>
          <w:rFonts w:hint="eastAsia" w:ascii="仿宋_GB2312" w:hAnsi="仿宋_GB2312" w:eastAsia="仿宋_GB2312" w:cs="仿宋_GB2312"/>
          <w:b w:val="0"/>
          <w:bCs/>
          <w:color w:val="auto"/>
          <w:sz w:val="32"/>
          <w:szCs w:val="32"/>
          <w:lang w:eastAsia="zh-CN"/>
        </w:rPr>
        <w:t>由</w:t>
      </w:r>
      <w:r>
        <w:rPr>
          <w:rFonts w:hint="eastAsia" w:ascii="仿宋_GB2312" w:hAnsi="仿宋_GB2312" w:eastAsia="仿宋_GB2312" w:cs="仿宋_GB2312"/>
          <w:color w:val="auto"/>
          <w:kern w:val="2"/>
          <w:sz w:val="32"/>
          <w:szCs w:val="32"/>
          <w:lang w:val="en-US" w:eastAsia="zh-CN" w:bidi="ar-SA"/>
        </w:rPr>
        <w:t>政府组建专业物流公司或委托第三方物流公司承运保障落地企业物流运输，全面打通西畴对外物流链接大动脉。入驻企业从递交投产申请之日起，政府按照每年企业物流运营开支实际结算费用的80%给予连续三年的物流补助（补贴金额第一年不超过950万元人民币、第二年不超过1500万元人民币、第三年不超过2100万元人民币），降低企业运营成本。物流产生的费用2个月结算一次，以物流公司或委托第三方物流公司申请物流经费的时间为准。</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rPr>
          <w:rFonts w:hint="eastAsia" w:ascii="仿宋_GB2312" w:hAnsi="仿宋_GB2312" w:eastAsia="仿宋_GB2312" w:cs="仿宋_GB2312"/>
          <w:color w:val="auto"/>
          <w:sz w:val="32"/>
          <w:szCs w:val="32"/>
          <w:lang w:val="en-US" w:eastAsia="zh-CN" w:bidi="ar-SA"/>
        </w:rPr>
      </w:pPr>
      <w:r>
        <w:rPr>
          <w:rFonts w:hint="eastAsia" w:ascii="黑体" w:hAnsi="黑体" w:eastAsia="黑体" w:cs="黑体"/>
          <w:b w:val="0"/>
          <w:bCs/>
          <w:color w:val="auto"/>
          <w:kern w:val="2"/>
          <w:sz w:val="32"/>
          <w:szCs w:val="32"/>
          <w:lang w:val="en-US" w:eastAsia="zh-CN" w:bidi="ar-SA"/>
        </w:rPr>
        <w:t>第十四条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b w:val="0"/>
          <w:bCs/>
          <w:color w:val="auto"/>
          <w:kern w:val="2"/>
          <w:sz w:val="32"/>
          <w:szCs w:val="32"/>
          <w:lang w:val="en-US" w:eastAsia="zh-CN" w:bidi="ar-SA"/>
        </w:rPr>
        <w:t>土地及</w:t>
      </w:r>
      <w:r>
        <w:rPr>
          <w:rFonts w:hint="eastAsia" w:ascii="仿宋_GB2312" w:hAnsi="仿宋_GB2312" w:eastAsia="仿宋_GB2312" w:cs="仿宋_GB2312"/>
          <w:b w:val="0"/>
          <w:bCs w:val="0"/>
          <w:color w:val="auto"/>
          <w:sz w:val="32"/>
          <w:szCs w:val="32"/>
          <w:lang w:val="en-US" w:eastAsia="zh-CN" w:bidi="ar-SA"/>
        </w:rPr>
        <w:t>厂房租金补贴。鼓励企业采取招拍挂取得用地并自建生产厂房，企业用地依据</w:t>
      </w:r>
      <w:r>
        <w:rPr>
          <w:rFonts w:hint="eastAsia" w:ascii="仿宋_GB2312" w:hAnsi="仿宋_GB2312" w:eastAsia="仿宋_GB2312" w:cs="仿宋_GB2312"/>
          <w:color w:val="auto"/>
          <w:sz w:val="32"/>
          <w:szCs w:val="32"/>
          <w:lang w:val="en-US" w:eastAsia="zh-CN" w:bidi="ar-SA"/>
        </w:rPr>
        <w:t>国家现行政策执行。</w:t>
      </w:r>
    </w:p>
    <w:p>
      <w:pPr>
        <w:keepNext w:val="0"/>
        <w:keepLines w:val="0"/>
        <w:pageBreakBefore w:val="0"/>
        <w:widowControl w:val="0"/>
        <w:kinsoku/>
        <w:wordWrap/>
        <w:overflowPunct/>
        <w:topLinePunct w:val="0"/>
        <w:bidi w:val="0"/>
        <w:snapToGrid/>
        <w:spacing w:line="240" w:lineRule="auto"/>
        <w:ind w:firstLine="640" w:firstLineChars="200"/>
        <w:textAlignment w:val="baseline"/>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对采取租赁西畴标准厂房进行生产经营的，厂房租赁实行“三免两减半”，即前三年免租金，后两年减半收取，（从递交投产申请之日起算，第4年、第5年厂房租金减半收取，即厂房租金减半后金额为6元/平方米/月）。自第6年起入驻企业进行土地及厂房的回购（企业从第6—7年以5:5比例按照建设当年审定结算价回购厂房），如入驻企业无力回购，未回购的厂房部分由引进企业负责回购。第6年起厂房租金按12元/平方米/月收取，往后每2年递增10%。</w:t>
      </w:r>
    </w:p>
    <w:p>
      <w:pPr>
        <w:keepNext w:val="0"/>
        <w:keepLines w:val="0"/>
        <w:pageBreakBefore w:val="0"/>
        <w:widowControl w:val="0"/>
        <w:kinsoku/>
        <w:wordWrap/>
        <w:overflowPunct/>
        <w:topLinePunct w:val="0"/>
        <w:bidi w:val="0"/>
        <w:snapToGrid/>
        <w:spacing w:line="240" w:lineRule="auto"/>
        <w:ind w:firstLine="640" w:firstLineChars="200"/>
        <w:textAlignment w:val="baseline"/>
        <w:rPr>
          <w:rFonts w:hint="eastAsia" w:ascii="仿宋_GB2312" w:hAnsi="仿宋_GB2312" w:eastAsia="仿宋_GB2312" w:cs="仿宋_GB2312"/>
          <w:bCs/>
          <w:color w:val="auto"/>
          <w:sz w:val="32"/>
          <w:szCs w:val="32"/>
        </w:rPr>
      </w:pPr>
      <w:r>
        <w:rPr>
          <w:rFonts w:hint="eastAsia" w:ascii="黑体" w:hAnsi="黑体" w:eastAsia="黑体" w:cs="黑体"/>
          <w:b w:val="0"/>
          <w:bCs/>
          <w:color w:val="auto"/>
          <w:sz w:val="32"/>
          <w:szCs w:val="32"/>
          <w:lang w:val="en-US"/>
        </w:rPr>
        <w:t>第十五条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color w:val="auto"/>
          <w:kern w:val="2"/>
          <w:sz w:val="32"/>
          <w:szCs w:val="32"/>
          <w:lang w:val="en-US" w:eastAsia="zh-CN" w:bidi="ar-SA"/>
        </w:rPr>
        <w:t>装修补贴。根据入驻企业无尘车间厂房装修需求，按新能源入驻企业需求建筑面积给与入驻企业1000元/平方米的装修补贴。在入驻企业提供装修方案且第一批装修主材进场后7个工作日内给与装修补贴总额的30%；在入驻企业装修工程进度达60%后15个工作日内给与装修补贴总额的50%；在入驻企业设备调试完成并试投产30个工作日内给与装修补贴总额的20%。</w:t>
      </w:r>
      <w:r>
        <w:rPr>
          <w:rFonts w:hint="eastAsia" w:ascii="仿宋_GB2312" w:hAnsi="仿宋_GB2312" w:eastAsia="仿宋_GB2312" w:cs="仿宋_GB2312"/>
          <w:b w:val="0"/>
          <w:bCs/>
          <w:i w:val="0"/>
          <w:iCs w:val="0"/>
          <w:caps w:val="0"/>
          <w:color w:val="auto"/>
          <w:spacing w:val="0"/>
          <w:w w:val="100"/>
          <w:kern w:val="2"/>
          <w:sz w:val="32"/>
          <w:szCs w:val="32"/>
          <w:lang w:val="en-US" w:eastAsia="zh-CN" w:bidi="ar-SA"/>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0" w:afterAutospacing="0" w:line="240" w:lineRule="auto"/>
        <w:ind w:left="0" w:right="0" w:firstLine="640" w:firstLineChars="200"/>
        <w:jc w:val="both"/>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黑体" w:hAnsi="黑体" w:eastAsia="黑体" w:cs="黑体"/>
          <w:b w:val="0"/>
          <w:bCs/>
          <w:color w:val="auto"/>
          <w:sz w:val="32"/>
          <w:szCs w:val="32"/>
          <w:lang w:val="en-US"/>
        </w:rPr>
        <w:t>第十六条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color w:val="auto"/>
          <w:kern w:val="2"/>
          <w:sz w:val="32"/>
          <w:szCs w:val="32"/>
          <w:lang w:val="en-US" w:eastAsia="zh-CN" w:bidi="ar-SA"/>
        </w:rPr>
        <w:t>生产设备补贴。企业新购生产设备按设备采购金额的18%给予补贴。在企业确定采购设备清单、提供采购合同并向设备生产厂家支付50%设备款（以银行流水为凭证）后30个工作日内给与企业设备总采购额的9%；设备完全进场、安装、调试、试投产后30个工作日内给与企业设备总采购额的9%。设备总采购金额可由双方共同协商认可的第三方评估机构出具的设备金额评估报告为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b w:val="0"/>
          <w:bCs/>
          <w:i w:val="0"/>
          <w:caps w:val="0"/>
          <w:color w:val="auto"/>
          <w:spacing w:val="0"/>
          <w:w w:val="100"/>
          <w:sz w:val="32"/>
          <w:szCs w:val="32"/>
          <w:lang w:val="en-US" w:eastAsia="zh-CN"/>
        </w:rPr>
        <w:t>第十七条</w:t>
      </w:r>
      <w:r>
        <w:rPr>
          <w:rFonts w:hint="eastAsia" w:ascii="仿宋_GB2312" w:hAnsi="仿宋_GB2312" w:eastAsia="仿宋_GB2312" w:cs="仿宋_GB2312"/>
          <w:b/>
          <w:bCs w:val="0"/>
          <w:i w:val="0"/>
          <w:caps w:val="0"/>
          <w:color w:val="auto"/>
          <w:spacing w:val="0"/>
          <w:w w:val="100"/>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设备搬迁运输费用补贴。对入驻企业异地搬迁原有生产设备到西畴县内生产的，根据入驻企业的生产用房（仓库及办公区域除外），按100元/平方米给与企业在搬迁过程中产生的运输费用补贴，在入驻企业投产后7个工作日内支付。</w:t>
      </w:r>
    </w:p>
    <w:p>
      <w:pPr>
        <w:keepNext w:val="0"/>
        <w:keepLines w:val="0"/>
        <w:pageBreakBefore w:val="0"/>
        <w:widowControl w:val="0"/>
        <w:numPr>
          <w:ilvl w:val="0"/>
          <w:numId w:val="0"/>
        </w:numPr>
        <w:kinsoku/>
        <w:wordWrap/>
        <w:overflowPunct/>
        <w:topLinePunct w:val="0"/>
        <w:bidi w:val="0"/>
        <w:snapToGrid/>
        <w:spacing w:line="240" w:lineRule="auto"/>
        <w:ind w:firstLine="640" w:firstLineChars="200"/>
        <w:jc w:val="both"/>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bCs/>
          <w:color w:val="auto"/>
          <w:sz w:val="32"/>
          <w:highlight w:val="none"/>
        </w:rPr>
        <w:t>第</w:t>
      </w:r>
      <w:r>
        <w:rPr>
          <w:rFonts w:hint="eastAsia" w:ascii="黑体" w:hAnsi="黑体" w:eastAsia="黑体" w:cs="黑体"/>
          <w:bCs/>
          <w:color w:val="auto"/>
          <w:sz w:val="32"/>
          <w:highlight w:val="none"/>
          <w:lang w:eastAsia="zh-CN"/>
        </w:rPr>
        <w:t>三</w:t>
      </w:r>
      <w:r>
        <w:rPr>
          <w:rFonts w:hint="eastAsia" w:ascii="黑体" w:hAnsi="黑体" w:eastAsia="黑体" w:cs="黑体"/>
          <w:bCs/>
          <w:color w:val="auto"/>
          <w:sz w:val="32"/>
          <w:highlight w:val="none"/>
        </w:rPr>
        <w:t>章</w:t>
      </w:r>
      <w:r>
        <w:rPr>
          <w:rFonts w:hint="eastAsia" w:ascii="黑体" w:hAnsi="黑体" w:eastAsia="黑体" w:cs="黑体"/>
          <w:bCs/>
          <w:color w:val="auto"/>
          <w:sz w:val="32"/>
          <w:highlight w:val="none"/>
          <w:lang w:val="en-US" w:eastAsia="zh-CN"/>
        </w:rPr>
        <w:t xml:space="preserve"> </w:t>
      </w:r>
      <w:r>
        <w:rPr>
          <w:rFonts w:hint="eastAsia" w:ascii="黑体" w:hAnsi="黑体" w:eastAsia="黑体" w:cs="黑体"/>
          <w:bCs/>
          <w:color w:val="auto"/>
          <w:sz w:val="32"/>
          <w:highlight w:val="none"/>
        </w:rPr>
        <w:t>强化服务保障</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十八</w:t>
      </w:r>
      <w:r>
        <w:rPr>
          <w:rFonts w:hint="eastAsia" w:ascii="黑体" w:hAnsi="黑体" w:eastAsia="黑体" w:cs="黑体"/>
          <w:b w:val="0"/>
          <w:bCs w:val="0"/>
          <w:color w:val="auto"/>
          <w:sz w:val="32"/>
          <w:szCs w:val="32"/>
        </w:rPr>
        <w:t>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color w:val="auto"/>
          <w:sz w:val="32"/>
          <w:szCs w:val="32"/>
        </w:rPr>
        <w:t>畅通政企交流渠道。开展“企业</w:t>
      </w:r>
      <w:r>
        <w:rPr>
          <w:rFonts w:hint="eastAsia" w:ascii="仿宋_GB2312" w:hAnsi="仿宋_GB2312" w:eastAsia="仿宋_GB2312" w:cs="仿宋_GB2312"/>
          <w:color w:val="auto"/>
          <w:sz w:val="32"/>
          <w:szCs w:val="32"/>
          <w:lang w:eastAsia="zh-CN"/>
        </w:rPr>
        <w:t>茶点</w:t>
      </w:r>
      <w:r>
        <w:rPr>
          <w:rFonts w:hint="eastAsia" w:ascii="仿宋_GB2312" w:hAnsi="仿宋_GB2312" w:eastAsia="仿宋_GB2312" w:cs="仿宋_GB2312"/>
          <w:color w:val="auto"/>
          <w:sz w:val="32"/>
          <w:szCs w:val="32"/>
        </w:rPr>
        <w:t>时”活动，以</w:t>
      </w:r>
      <w:r>
        <w:rPr>
          <w:rFonts w:hint="eastAsia" w:ascii="仿宋_GB2312" w:hAnsi="仿宋_GB2312" w:eastAsia="仿宋_GB2312" w:cs="仿宋_GB2312"/>
          <w:color w:val="auto"/>
          <w:sz w:val="32"/>
          <w:szCs w:val="32"/>
          <w:lang w:eastAsia="zh-CN"/>
        </w:rPr>
        <w:t>西畴古树茶</w:t>
      </w:r>
      <w:r>
        <w:rPr>
          <w:rFonts w:hint="eastAsia" w:ascii="仿宋_GB2312" w:hAnsi="仿宋_GB2312" w:eastAsia="仿宋_GB2312" w:cs="仿宋_GB2312"/>
          <w:color w:val="auto"/>
          <w:sz w:val="32"/>
          <w:szCs w:val="32"/>
        </w:rPr>
        <w:t>文化为交流氛围，构建“线下活动落地+线上媒体推介”的</w:t>
      </w:r>
      <w:r>
        <w:rPr>
          <w:rFonts w:hint="eastAsia" w:ascii="仿宋_GB2312" w:hAnsi="仿宋_GB2312" w:eastAsia="仿宋_GB2312" w:cs="仿宋_GB2312"/>
          <w:color w:val="auto"/>
          <w:sz w:val="32"/>
          <w:szCs w:val="32"/>
          <w:lang w:eastAsia="zh-CN"/>
        </w:rPr>
        <w:t>西畴</w:t>
      </w:r>
      <w:r>
        <w:rPr>
          <w:rFonts w:hint="eastAsia" w:ascii="仿宋_GB2312" w:hAnsi="仿宋_GB2312" w:eastAsia="仿宋_GB2312" w:cs="仿宋_GB2312"/>
          <w:color w:val="auto"/>
          <w:sz w:val="32"/>
          <w:szCs w:val="32"/>
        </w:rPr>
        <w:t>政企零距离交流平台，建立政府首席代表服务制度，畅通政府与企业交流渠道，及时掌握和解决企业诉求，树立政务服务新形象，营造</w:t>
      </w:r>
      <w:r>
        <w:rPr>
          <w:rFonts w:hint="eastAsia" w:ascii="仿宋_GB2312" w:hAnsi="仿宋_GB2312" w:eastAsia="仿宋_GB2312" w:cs="仿宋_GB2312"/>
          <w:color w:val="auto"/>
          <w:sz w:val="32"/>
          <w:szCs w:val="32"/>
          <w:lang w:eastAsia="zh-CN"/>
        </w:rPr>
        <w:t>西畴</w:t>
      </w:r>
      <w:r>
        <w:rPr>
          <w:rFonts w:hint="eastAsia" w:ascii="仿宋_GB2312" w:hAnsi="仿宋_GB2312" w:eastAsia="仿宋_GB2312" w:cs="仿宋_GB2312"/>
          <w:color w:val="auto"/>
          <w:sz w:val="32"/>
          <w:szCs w:val="32"/>
        </w:rPr>
        <w:t>良好营商环境。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十九</w:t>
      </w:r>
      <w:r>
        <w:rPr>
          <w:rFonts w:hint="eastAsia" w:ascii="黑体" w:hAnsi="黑体" w:eastAsia="黑体" w:cs="黑体"/>
          <w:b w:val="0"/>
          <w:bCs w:val="0"/>
          <w:color w:val="auto"/>
          <w:sz w:val="32"/>
          <w:szCs w:val="32"/>
        </w:rPr>
        <w:t>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color w:val="auto"/>
          <w:sz w:val="32"/>
          <w:szCs w:val="32"/>
        </w:rPr>
        <w:t>解决用工难问题。建立人员就业、</w:t>
      </w:r>
      <w:r>
        <w:rPr>
          <w:rFonts w:hint="eastAsia" w:ascii="仿宋_GB2312" w:hAnsi="仿宋_GB2312" w:eastAsia="仿宋_GB2312" w:cs="仿宋_GB2312"/>
          <w:color w:val="auto"/>
          <w:sz w:val="32"/>
          <w:szCs w:val="32"/>
          <w:lang w:val="en-US" w:eastAsia="zh-CN"/>
        </w:rPr>
        <w:t>职业技能</w:t>
      </w:r>
      <w:r>
        <w:rPr>
          <w:rFonts w:hint="eastAsia" w:ascii="仿宋_GB2312" w:hAnsi="仿宋_GB2312" w:eastAsia="仿宋_GB2312" w:cs="仿宋_GB2312"/>
          <w:color w:val="auto"/>
          <w:sz w:val="32"/>
          <w:szCs w:val="32"/>
        </w:rPr>
        <w:t>培训教育、企业用工对接机制，鼓励职业学校面向企业人才需求开展定向培训教育，通过</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级媒体宣传企业招工用工信息，定期组织用工招聘会，引导高校毕业生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退役军人等人员</w:t>
      </w:r>
      <w:r>
        <w:rPr>
          <w:rFonts w:hint="eastAsia" w:ascii="仿宋_GB2312" w:hAnsi="仿宋_GB2312" w:eastAsia="仿宋_GB2312" w:cs="仿宋_GB2312"/>
          <w:color w:val="auto"/>
          <w:sz w:val="32"/>
          <w:szCs w:val="32"/>
        </w:rPr>
        <w:t>返乡入企就业。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val="en-US" w:eastAsia="zh-CN"/>
        </w:rPr>
        <w:t>二十</w:t>
      </w:r>
      <w:r>
        <w:rPr>
          <w:rFonts w:hint="eastAsia" w:ascii="黑体" w:hAnsi="黑体" w:eastAsia="黑体" w:cs="黑体"/>
          <w:b w:val="0"/>
          <w:bCs w:val="0"/>
          <w:color w:val="auto"/>
          <w:sz w:val="32"/>
          <w:szCs w:val="32"/>
        </w:rPr>
        <w:t>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color w:val="auto"/>
          <w:sz w:val="32"/>
          <w:szCs w:val="32"/>
        </w:rPr>
        <w:t>加强就医</w:t>
      </w:r>
      <w:r>
        <w:rPr>
          <w:rFonts w:hint="eastAsia" w:ascii="仿宋_GB2312" w:hAnsi="仿宋_GB2312" w:eastAsia="仿宋_GB2312" w:cs="仿宋_GB2312"/>
          <w:color w:val="auto"/>
          <w:sz w:val="32"/>
          <w:szCs w:val="32"/>
          <w:lang w:eastAsia="zh-CN"/>
        </w:rPr>
        <w:t>、入学、住房、就业</w:t>
      </w:r>
      <w:r>
        <w:rPr>
          <w:rFonts w:hint="eastAsia" w:ascii="仿宋_GB2312" w:hAnsi="仿宋_GB2312" w:eastAsia="仿宋_GB2312" w:cs="仿宋_GB2312"/>
          <w:color w:val="auto"/>
          <w:sz w:val="32"/>
          <w:szCs w:val="32"/>
        </w:rPr>
        <w:t>保障。对在</w:t>
      </w:r>
      <w:r>
        <w:rPr>
          <w:rFonts w:hint="eastAsia" w:ascii="仿宋_GB2312" w:hAnsi="仿宋_GB2312" w:eastAsia="仿宋_GB2312" w:cs="仿宋_GB2312"/>
          <w:color w:val="auto"/>
          <w:sz w:val="32"/>
          <w:szCs w:val="32"/>
          <w:lang w:val="en-US" w:eastAsia="zh-CN"/>
        </w:rPr>
        <w:t>县内</w:t>
      </w:r>
      <w:r>
        <w:rPr>
          <w:rFonts w:hint="eastAsia" w:ascii="仿宋_GB2312" w:hAnsi="仿宋_GB2312" w:eastAsia="仿宋_GB2312" w:cs="仿宋_GB2312"/>
          <w:color w:val="auto"/>
          <w:sz w:val="32"/>
          <w:szCs w:val="32"/>
        </w:rPr>
        <w:t>参保的企业家及技术人员办理完善医保手续，做好在</w:t>
      </w:r>
      <w:r>
        <w:rPr>
          <w:rFonts w:hint="eastAsia" w:ascii="仿宋_GB2312" w:hAnsi="仿宋_GB2312" w:eastAsia="仿宋_GB2312" w:cs="仿宋_GB2312"/>
          <w:color w:val="auto"/>
          <w:sz w:val="32"/>
          <w:szCs w:val="32"/>
          <w:lang w:val="en-US" w:eastAsia="zh-CN"/>
        </w:rPr>
        <w:t>西畴县</w:t>
      </w:r>
      <w:r>
        <w:rPr>
          <w:rFonts w:hint="eastAsia" w:ascii="仿宋_GB2312" w:hAnsi="仿宋_GB2312" w:eastAsia="仿宋_GB2312" w:cs="仿宋_GB2312"/>
          <w:color w:val="auto"/>
          <w:sz w:val="32"/>
          <w:szCs w:val="32"/>
        </w:rPr>
        <w:t>外参保人员异地就医结算备案的服务和指导工作。对企业家及其高管开展家庭医生签约服务，对重点人群提供个性化签约，在</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级医院建立就诊绿色通道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解决入学问题。对企业高管和技术人才、特殊人才的未成年子女入学</w:t>
      </w:r>
      <w:r>
        <w:rPr>
          <w:rFonts w:hint="eastAsia" w:ascii="仿宋_GB2312" w:hAnsi="仿宋_GB2312" w:eastAsia="仿宋_GB2312" w:cs="仿宋_GB2312"/>
          <w:color w:val="auto"/>
          <w:sz w:val="32"/>
          <w:szCs w:val="32"/>
          <w:lang w:val="en-US" w:eastAsia="zh-CN"/>
        </w:rPr>
        <w:t>在国家政策范围内</w:t>
      </w:r>
      <w:r>
        <w:rPr>
          <w:rFonts w:hint="eastAsia" w:ascii="仿宋_GB2312" w:hAnsi="仿宋_GB2312" w:eastAsia="仿宋_GB2312" w:cs="仿宋_GB2312"/>
          <w:color w:val="auto"/>
          <w:sz w:val="32"/>
          <w:szCs w:val="32"/>
        </w:rPr>
        <w:t>给予便利条件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保障住房需求。加快人才公寓建设，对</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内企业高管和特殊技术人才，由企业申请，经认定后，给予购房支持</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val="en-US" w:eastAsia="zh-CN"/>
        </w:rPr>
        <w:t>二十一</w:t>
      </w:r>
      <w:r>
        <w:rPr>
          <w:rFonts w:hint="eastAsia" w:ascii="黑体" w:hAnsi="黑体" w:eastAsia="黑体" w:cs="黑体"/>
          <w:b w:val="0"/>
          <w:bCs w:val="0"/>
          <w:color w:val="auto"/>
          <w:sz w:val="32"/>
          <w:szCs w:val="32"/>
        </w:rPr>
        <w:t>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color w:val="auto"/>
          <w:sz w:val="32"/>
          <w:szCs w:val="32"/>
        </w:rPr>
        <w:t>优化行政审批服务。积极探索开展行政审批前置服务，简化企业办事流程，不断提高行政效能。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bCs/>
          <w:color w:val="auto"/>
          <w:sz w:val="32"/>
          <w:highlight w:val="none"/>
        </w:rPr>
        <w:t>第</w:t>
      </w:r>
      <w:r>
        <w:rPr>
          <w:rFonts w:hint="eastAsia" w:ascii="黑体" w:hAnsi="黑体" w:eastAsia="黑体" w:cs="黑体"/>
          <w:bCs/>
          <w:color w:val="auto"/>
          <w:sz w:val="32"/>
          <w:highlight w:val="none"/>
          <w:lang w:eastAsia="zh-CN"/>
        </w:rPr>
        <w:t>四</w:t>
      </w:r>
      <w:r>
        <w:rPr>
          <w:rFonts w:hint="eastAsia" w:ascii="黑体" w:hAnsi="黑体" w:eastAsia="黑体" w:cs="黑体"/>
          <w:bCs/>
          <w:color w:val="auto"/>
          <w:sz w:val="32"/>
          <w:highlight w:val="none"/>
        </w:rPr>
        <w:t>章</w:t>
      </w:r>
      <w:r>
        <w:rPr>
          <w:rFonts w:hint="eastAsia" w:ascii="黑体" w:hAnsi="黑体" w:eastAsia="黑体" w:cs="黑体"/>
          <w:i w:val="0"/>
          <w:caps w:val="0"/>
          <w:color w:val="333333"/>
          <w:spacing w:val="0"/>
          <w:sz w:val="32"/>
          <w:szCs w:val="32"/>
          <w:shd w:val="clear" w:fill="FFFFFF"/>
          <w:lang w:val="en-US" w:eastAsia="zh-CN"/>
        </w:rPr>
        <w:t xml:space="preserve"> 附  则</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lang w:val="en-US" w:eastAsia="zh-CN"/>
        </w:rPr>
        <w:t>第二十二条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color w:val="auto"/>
          <w:sz w:val="32"/>
          <w:szCs w:val="32"/>
        </w:rPr>
        <w:t>本政策所涉补助（奖励）均为税前（币种为人民币）</w:t>
      </w:r>
      <w:r>
        <w:rPr>
          <w:rFonts w:hint="eastAsia" w:ascii="仿宋_GB2312" w:hAnsi="仿宋_GB2312" w:eastAsia="仿宋_GB2312" w:cs="仿宋_GB2312"/>
          <w:color w:val="auto"/>
          <w:sz w:val="32"/>
          <w:szCs w:val="32"/>
          <w:lang w:eastAsia="zh-CN"/>
        </w:rPr>
        <w:t>，由企业自行承担纳税义务</w:t>
      </w:r>
      <w:r>
        <w:rPr>
          <w:rFonts w:hint="eastAsia" w:ascii="仿宋_GB2312" w:hAnsi="仿宋_GB2312" w:eastAsia="仿宋_GB2312" w:cs="仿宋_GB2312"/>
          <w:color w:val="auto"/>
          <w:sz w:val="32"/>
          <w:szCs w:val="32"/>
        </w:rPr>
        <w:t>。企业或组织机构须承诺15年内不迁离注册地、不减少注册资本、不改变在</w:t>
      </w:r>
      <w:r>
        <w:rPr>
          <w:rFonts w:hint="eastAsia" w:ascii="仿宋_GB2312" w:hAnsi="仿宋_GB2312" w:eastAsia="仿宋_GB2312" w:cs="仿宋_GB2312"/>
          <w:color w:val="auto"/>
          <w:sz w:val="32"/>
          <w:szCs w:val="32"/>
          <w:lang w:eastAsia="zh-CN"/>
        </w:rPr>
        <w:t>西畴县</w:t>
      </w:r>
      <w:r>
        <w:rPr>
          <w:rFonts w:hint="eastAsia" w:ascii="仿宋_GB2312" w:hAnsi="仿宋_GB2312" w:eastAsia="仿宋_GB2312" w:cs="仿宋_GB2312"/>
          <w:color w:val="auto"/>
          <w:sz w:val="32"/>
          <w:szCs w:val="32"/>
        </w:rPr>
        <w:t>纳税义务，未履行承诺须退回已享受的各项扶持资金。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lang w:val="en-US" w:eastAsia="zh-CN"/>
        </w:rPr>
        <w:t>第二十三条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color w:val="auto"/>
          <w:sz w:val="32"/>
          <w:szCs w:val="32"/>
        </w:rPr>
        <w:t>对上年度发生安全生产事故、食品安全事故、环境污染事件和被列入诚信黑名单</w:t>
      </w:r>
      <w:r>
        <w:rPr>
          <w:rFonts w:hint="eastAsia" w:ascii="仿宋_GB2312" w:hAnsi="仿宋_GB2312" w:eastAsia="仿宋_GB2312" w:cs="仿宋_GB2312"/>
          <w:color w:val="auto"/>
          <w:sz w:val="32"/>
          <w:szCs w:val="32"/>
          <w:lang w:val="en-US" w:eastAsia="zh-CN"/>
        </w:rPr>
        <w:t>未修复</w:t>
      </w:r>
      <w:r>
        <w:rPr>
          <w:rFonts w:hint="eastAsia" w:ascii="仿宋_GB2312" w:hAnsi="仿宋_GB2312" w:eastAsia="仿宋_GB2312" w:cs="仿宋_GB2312"/>
          <w:color w:val="auto"/>
          <w:sz w:val="32"/>
          <w:szCs w:val="32"/>
        </w:rPr>
        <w:t>的企业（组织机构、项目）不予支持。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lang w:val="en-US" w:eastAsia="zh-CN"/>
        </w:rPr>
        <w:t>第二十四条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auto"/>
          <w:spacing w:val="0"/>
          <w:sz w:val="32"/>
          <w:szCs w:val="32"/>
          <w:shd w:val="clear" w:fill="FFFFFF"/>
        </w:rPr>
        <w:t>本</w:t>
      </w:r>
      <w:r>
        <w:rPr>
          <w:rFonts w:hint="eastAsia" w:ascii="仿宋_GB2312" w:hAnsi="仿宋_GB2312" w:eastAsia="仿宋_GB2312" w:cs="仿宋_GB2312"/>
          <w:i w:val="0"/>
          <w:iCs w:val="0"/>
          <w:caps w:val="0"/>
          <w:color w:val="auto"/>
          <w:spacing w:val="0"/>
          <w:sz w:val="32"/>
          <w:szCs w:val="32"/>
          <w:shd w:val="clear" w:fill="FFFFFF"/>
          <w:lang w:eastAsia="zh-CN"/>
        </w:rPr>
        <w:t>政策</w:t>
      </w:r>
      <w:r>
        <w:rPr>
          <w:rFonts w:hint="eastAsia" w:ascii="仿宋_GB2312" w:hAnsi="仿宋_GB2312" w:eastAsia="仿宋_GB2312" w:cs="仿宋_GB2312"/>
          <w:i w:val="0"/>
          <w:iCs w:val="0"/>
          <w:caps w:val="0"/>
          <w:color w:val="auto"/>
          <w:spacing w:val="0"/>
          <w:sz w:val="32"/>
          <w:szCs w:val="32"/>
          <w:shd w:val="clear" w:fill="FFFFFF"/>
        </w:rPr>
        <w:t>的各项奖励和补贴以企业履行项目投资合同约定为前提。</w:t>
      </w:r>
      <w:r>
        <w:rPr>
          <w:rFonts w:hint="eastAsia" w:ascii="仿宋_GB2312" w:hAnsi="仿宋_GB2312" w:eastAsia="仿宋_GB2312" w:cs="仿宋_GB2312"/>
          <w:color w:val="auto"/>
          <w:sz w:val="32"/>
          <w:szCs w:val="32"/>
        </w:rPr>
        <w:t>符合本政策规定的同一项目、同一事项同时符合</w:t>
      </w:r>
      <w:r>
        <w:rPr>
          <w:rFonts w:hint="eastAsia" w:ascii="仿宋_GB2312" w:hAnsi="仿宋_GB2312" w:eastAsia="仿宋_GB2312" w:cs="仿宋_GB2312"/>
          <w:color w:val="auto"/>
          <w:sz w:val="32"/>
          <w:szCs w:val="32"/>
          <w:lang w:eastAsia="zh-CN"/>
        </w:rPr>
        <w:t>西畴县</w:t>
      </w:r>
      <w:r>
        <w:rPr>
          <w:rFonts w:hint="eastAsia" w:ascii="仿宋_GB2312" w:hAnsi="仿宋_GB2312" w:eastAsia="仿宋_GB2312" w:cs="仿宋_GB2312"/>
          <w:color w:val="auto"/>
          <w:sz w:val="32"/>
          <w:szCs w:val="32"/>
        </w:rPr>
        <w:t>其他扶持政策规定的，按照就高、不重复的原则予以支持，另有规定的除外。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lang w:val="en-US" w:eastAsia="zh-CN"/>
        </w:rPr>
        <w:t>第二十五条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color w:val="auto"/>
          <w:sz w:val="32"/>
          <w:szCs w:val="32"/>
        </w:rPr>
        <w:t>国家、省、</w:t>
      </w:r>
      <w:r>
        <w:rPr>
          <w:rFonts w:hint="eastAsia" w:ascii="仿宋_GB2312" w:hAnsi="仿宋_GB2312" w:eastAsia="仿宋_GB2312" w:cs="仿宋_GB2312"/>
          <w:color w:val="auto"/>
          <w:sz w:val="32"/>
          <w:szCs w:val="32"/>
          <w:lang w:val="en-US" w:eastAsia="zh-CN"/>
        </w:rPr>
        <w:t>州</w:t>
      </w:r>
      <w:r>
        <w:rPr>
          <w:rFonts w:hint="eastAsia" w:ascii="仿宋_GB2312" w:hAnsi="仿宋_GB2312" w:eastAsia="仿宋_GB2312" w:cs="仿宋_GB2312"/>
          <w:color w:val="auto"/>
          <w:sz w:val="32"/>
          <w:szCs w:val="32"/>
        </w:rPr>
        <w:t>政策另有规定的从其规定。本政策实施过程中，如出台新规定，按新规定执行，特别重大或效益特别显著的项目可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一事一议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lang w:val="en-US" w:eastAsia="zh-CN"/>
        </w:rPr>
        <w:t>第二十六条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color w:val="auto"/>
          <w:sz w:val="32"/>
          <w:szCs w:val="32"/>
        </w:rPr>
        <w:t>本政策自公布之日起实施，有效期5年，</w:t>
      </w:r>
      <w:r>
        <w:rPr>
          <w:rFonts w:hint="eastAsia" w:ascii="仿宋_GB2312" w:hAnsi="仿宋_GB2312" w:eastAsia="仿宋_GB2312" w:cs="仿宋_GB2312"/>
          <w:color w:val="auto"/>
          <w:sz w:val="32"/>
          <w:szCs w:val="32"/>
          <w:lang w:val="en-US" w:eastAsia="zh-CN"/>
        </w:rPr>
        <w:t>本政策</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西畴县</w:t>
      </w:r>
      <w:r>
        <w:rPr>
          <w:rFonts w:hint="eastAsia" w:ascii="仿宋_GB2312" w:hAnsi="仿宋_GB2312" w:eastAsia="仿宋_GB2312" w:cs="仿宋_GB2312"/>
          <w:color w:val="auto"/>
          <w:sz w:val="32"/>
          <w:szCs w:val="32"/>
          <w:lang w:val="en-US" w:eastAsia="zh-CN"/>
        </w:rPr>
        <w:t>人民政府委托县工信商务局</w:t>
      </w:r>
      <w:r>
        <w:rPr>
          <w:rFonts w:hint="eastAsia" w:ascii="仿宋_GB2312" w:hAnsi="仿宋_GB2312" w:eastAsia="仿宋_GB2312" w:cs="仿宋_GB2312"/>
          <w:color w:val="auto"/>
          <w:sz w:val="32"/>
          <w:szCs w:val="32"/>
        </w:rPr>
        <w:t>负责解释。有效期满或有关法律政策依据变化后，根据实施情况予以评估修订。</w:t>
      </w:r>
    </w:p>
    <w:p>
      <w:pPr>
        <w:keepNext w:val="0"/>
        <w:keepLines w:val="0"/>
        <w:pageBreakBefore w:val="0"/>
        <w:widowControl w:val="0"/>
        <w:kinsoku/>
        <w:wordWrap/>
        <w:overflowPunct/>
        <w:topLinePunct w:val="0"/>
        <w:autoSpaceDE/>
        <w:autoSpaceDN/>
        <w:bidi w:val="0"/>
        <w:adjustRightInd/>
        <w:snapToGrid/>
        <w:spacing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spacing w:val="0"/>
          <w:sz w:val="32"/>
          <w:szCs w:val="32"/>
          <w:lang w:val="en-US" w:eastAsia="zh-CN"/>
        </w:rPr>
      </w:pPr>
    </w:p>
    <w:sectPr>
      <w:headerReference r:id="rId3" w:type="default"/>
      <w:footerReference r:id="rId4" w:type="default"/>
      <w:pgSz w:w="11906" w:h="16838"/>
      <w:pgMar w:top="1962" w:right="1474" w:bottom="1848" w:left="1587" w:header="851" w:footer="907"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posOffset>5090160</wp:posOffset>
              </wp:positionH>
              <wp:positionV relativeFrom="paragraph">
                <wp:posOffset>8255</wp:posOffset>
              </wp:positionV>
              <wp:extent cx="509905" cy="270510"/>
              <wp:effectExtent l="0" t="0" r="0" b="0"/>
              <wp:wrapNone/>
              <wp:docPr id="8" name="文本框 8"/>
              <wp:cNvGraphicFramePr/>
              <a:graphic xmlns:a="http://schemas.openxmlformats.org/drawingml/2006/main">
                <a:graphicData uri="http://schemas.microsoft.com/office/word/2010/wordprocessingShape">
                  <wps:wsp>
                    <wps:cNvSpPr txBox="1"/>
                    <wps:spPr>
                      <a:xfrm>
                        <a:off x="0" y="0"/>
                        <a:ext cx="509905" cy="270510"/>
                      </a:xfrm>
                      <a:prstGeom prst="rect">
                        <a:avLst/>
                      </a:prstGeom>
                      <a:noFill/>
                      <a:ln w="6350">
                        <a:noFill/>
                      </a:ln>
                      <a:effectLst/>
                    </wps:spPr>
                    <wps:txbx>
                      <w:txbxContent>
                        <w:p>
                          <w:pPr>
                            <w:pStyle w:val="9"/>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0.8pt;margin-top:0.65pt;height:21.3pt;width:40.15pt;mso-position-horizontal-relative:margin;z-index:251661312;mso-width-relative:page;mso-height-relative:page;" filled="f" stroked="f" coordsize="21600,21600" o:gfxdata="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uIN/eNYAAAAIAQAADwAAAAAAAAABACAAAAAiAAAAZHJz&#10;L2Rvd25yZXYueG1sUEsBAhQAFAAAAAgAh07iQL3q7qM/AgAAbwQAAA4AAAAAAAAAAQAgAAAAJQEA&#10;AGRycy9lMm9Eb2MueG1sUEsFBgAAAAAGAAYAWQEAANYFAAAAAA==&#10;">
              <v:fill on="f" focussize="0,0"/>
              <v:stroke on="f" weight="0.5pt"/>
              <v:imagedata o:title=""/>
              <o:lock v:ext="edit" aspectratio="f"/>
              <v:textbox inset="0mm,0mm,0mm,0mm">
                <w:txbxContent>
                  <w:p>
                    <w:pPr>
                      <w:pStyle w:val="9"/>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0"/>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X文文</w:t>
    </w:r>
    <w:r>
      <w:rPr>
        <w:rFonts w:hint="eastAsia" w:ascii="宋体" w:hAnsi="宋体" w:cs="宋体"/>
        <w:b/>
        <w:bCs/>
        <w:color w:val="005192"/>
        <w:sz w:val="28"/>
        <w:szCs w:val="44"/>
        <w:lang w:val="en-US" w:eastAsia="zh-CN"/>
      </w:rPr>
      <w:t>西畴县</w:t>
    </w:r>
    <w:r>
      <w:rPr>
        <w:rFonts w:hint="eastAsia" w:ascii="宋体" w:hAnsi="宋体" w:eastAsia="宋体" w:cs="宋体"/>
        <w:b/>
        <w:bCs/>
        <w:color w:val="005192"/>
        <w:sz w:val="28"/>
        <w:szCs w:val="44"/>
        <w:lang w:val="en-US" w:eastAsia="zh-CN"/>
      </w:rPr>
      <w:t xml:space="preserve">人民政府发布     </w:t>
    </w:r>
  </w:p>
  <w:p>
    <w:pPr>
      <w:pStyle w:val="10"/>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val="en-US" w:eastAsia="zh-CN"/>
      </w:rPr>
      <w:t>西畴县</w:t>
    </w:r>
    <w:r>
      <w:rPr>
        <w:rFonts w:hint="eastAsia" w:ascii="宋体" w:hAnsi="宋体" w:eastAsia="宋体" w:cs="宋体"/>
        <w:b/>
        <w:bCs/>
        <w:color w:val="005192"/>
        <w:sz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mZWZmZTNmM2Y4OTdlMjI4ZWQ1ODVlNTVmOThmNTYifQ=="/>
  </w:docVars>
  <w:rsids>
    <w:rsidRoot w:val="00172A27"/>
    <w:rsid w:val="019E71BD"/>
    <w:rsid w:val="049B55BE"/>
    <w:rsid w:val="04B679C3"/>
    <w:rsid w:val="07BA677A"/>
    <w:rsid w:val="080F63D8"/>
    <w:rsid w:val="09341458"/>
    <w:rsid w:val="0B0912D7"/>
    <w:rsid w:val="0E5F2FB6"/>
    <w:rsid w:val="152D2DCA"/>
    <w:rsid w:val="1DEC284C"/>
    <w:rsid w:val="1E6523AC"/>
    <w:rsid w:val="22440422"/>
    <w:rsid w:val="276F0932"/>
    <w:rsid w:val="2A5C4330"/>
    <w:rsid w:val="31A15F24"/>
    <w:rsid w:val="351C16E8"/>
    <w:rsid w:val="395347B5"/>
    <w:rsid w:val="39A232A0"/>
    <w:rsid w:val="39E745AA"/>
    <w:rsid w:val="3B5A6BBB"/>
    <w:rsid w:val="3B7F9066"/>
    <w:rsid w:val="3EDA13A6"/>
    <w:rsid w:val="3FDC5A41"/>
    <w:rsid w:val="42F058B7"/>
    <w:rsid w:val="436109F6"/>
    <w:rsid w:val="441A38D4"/>
    <w:rsid w:val="47EA729A"/>
    <w:rsid w:val="4BC77339"/>
    <w:rsid w:val="4C9236C5"/>
    <w:rsid w:val="505C172E"/>
    <w:rsid w:val="52F46F0B"/>
    <w:rsid w:val="53D8014D"/>
    <w:rsid w:val="55E064E0"/>
    <w:rsid w:val="572C6D10"/>
    <w:rsid w:val="578B23D5"/>
    <w:rsid w:val="5C0A4B08"/>
    <w:rsid w:val="5DC34279"/>
    <w:rsid w:val="608816D1"/>
    <w:rsid w:val="60EF4E7F"/>
    <w:rsid w:val="65EEE062"/>
    <w:rsid w:val="665233C1"/>
    <w:rsid w:val="6AD9688B"/>
    <w:rsid w:val="6D0E3F22"/>
    <w:rsid w:val="6DA938EC"/>
    <w:rsid w:val="70350ABC"/>
    <w:rsid w:val="712E47AE"/>
    <w:rsid w:val="7320092E"/>
    <w:rsid w:val="7B1A5E7C"/>
    <w:rsid w:val="7C9011D9"/>
    <w:rsid w:val="7D5A7D56"/>
    <w:rsid w:val="7DC651C5"/>
    <w:rsid w:val="7FCC2834"/>
    <w:rsid w:val="7FD5E6BF"/>
    <w:rsid w:val="A1FE2052"/>
    <w:rsid w:val="FA6703A0"/>
    <w:rsid w:val="FD3F4FF7"/>
    <w:rsid w:val="FEB7A899"/>
    <w:rsid w:val="FFCFD6E2"/>
    <w:rsid w:val="FFFF50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beforeLines="0" w:beforeAutospacing="0"/>
    </w:pPr>
    <w:rPr>
      <w:rFonts w:ascii="Arial" w:hAnsi="Arial"/>
      <w:sz w:val="24"/>
    </w:rPr>
  </w:style>
  <w:style w:type="paragraph" w:styleId="3">
    <w:name w:val="annotation text"/>
    <w:basedOn w:val="1"/>
    <w:qFormat/>
    <w:uiPriority w:val="0"/>
    <w:pPr>
      <w:jc w:val="left"/>
    </w:pPr>
  </w:style>
  <w:style w:type="paragraph" w:styleId="4">
    <w:name w:val="Body Text"/>
    <w:basedOn w:val="1"/>
    <w:next w:val="5"/>
    <w:qFormat/>
    <w:uiPriority w:val="0"/>
    <w:pPr>
      <w:spacing w:after="120" w:afterLines="0" w:afterAutospacing="0"/>
    </w:pPr>
  </w:style>
  <w:style w:type="paragraph" w:styleId="5">
    <w:name w:val="toc 5"/>
    <w:basedOn w:val="1"/>
    <w:next w:val="1"/>
    <w:qFormat/>
    <w:uiPriority w:val="0"/>
    <w:pPr>
      <w:ind w:left="1680" w:leftChars="800"/>
    </w:pPr>
  </w:style>
  <w:style w:type="paragraph" w:styleId="6">
    <w:name w:val="Body Text Indent"/>
    <w:basedOn w:val="1"/>
    <w:qFormat/>
    <w:uiPriority w:val="0"/>
    <w:pPr>
      <w:ind w:firstLine="660"/>
    </w:pPr>
    <w:rPr>
      <w:rFonts w:ascii="宋体" w:eastAsia="宋体"/>
      <w:szCs w:val="24"/>
    </w:rPr>
  </w:style>
  <w:style w:type="paragraph" w:styleId="7">
    <w:name w:val="Block Text"/>
    <w:basedOn w:val="1"/>
    <w:qFormat/>
    <w:uiPriority w:val="0"/>
    <w:pPr>
      <w:ind w:left="946" w:leftChars="100" w:right="316" w:rightChars="100" w:hanging="630" w:hangingChars="306"/>
    </w:pPr>
  </w:style>
  <w:style w:type="paragraph" w:styleId="8">
    <w:name w:val="Plain Text"/>
    <w:basedOn w:val="1"/>
    <w:qFormat/>
    <w:uiPriority w:val="0"/>
    <w:rPr>
      <w:rFonts w:ascii="宋体" w:hAnsi="Courier New"/>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Body Text First Indent 2"/>
    <w:basedOn w:val="6"/>
    <w:unhideWhenUsed/>
    <w:qFormat/>
    <w:uiPriority w:val="0"/>
    <w:pPr>
      <w:spacing w:line="500" w:lineRule="exact"/>
      <w:ind w:firstLine="420" w:firstLineChars="200"/>
    </w:pPr>
    <w:rPr>
      <w:rFonts w:ascii="Times New Roman" w:hAnsi="宋体"/>
      <w:kern w:val="1"/>
      <w:sz w:val="21"/>
    </w:rPr>
  </w:style>
  <w:style w:type="paragraph" w:customStyle="1" w:styleId="15">
    <w:name w:val="规章标题"/>
    <w:basedOn w:val="1"/>
    <w:next w:val="4"/>
    <w:qFormat/>
    <w:uiPriority w:val="0"/>
    <w:pPr>
      <w:jc w:val="center"/>
    </w:pPr>
    <w:rPr>
      <w:rFonts w:hint="eastAsia" w:ascii="Calibri" w:hAnsi="Calibri" w:cs="宋体"/>
      <w:sz w:val="44"/>
      <w:szCs w:val="44"/>
    </w:rPr>
  </w:style>
  <w:style w:type="paragraph" w:customStyle="1" w:styleId="16">
    <w:name w:val="规章批注"/>
    <w:basedOn w:val="1"/>
    <w:next w:val="4"/>
    <w:qFormat/>
    <w:uiPriority w:val="0"/>
    <w:pPr>
      <w:jc w:val="center"/>
    </w:pPr>
    <w:rPr>
      <w:rFonts w:hint="eastAsia" w:ascii="楷体" w:hAnsi="楷体" w:eastAsia="楷体" w:cs="楷体"/>
      <w:sz w:val="32"/>
      <w:szCs w:val="32"/>
    </w:rPr>
  </w:style>
  <w:style w:type="paragraph" w:customStyle="1" w:styleId="17">
    <w:name w:val="规章章节"/>
    <w:basedOn w:val="1"/>
    <w:next w:val="8"/>
    <w:qFormat/>
    <w:uiPriority w:val="0"/>
    <w:pPr>
      <w:jc w:val="center"/>
    </w:pPr>
    <w:rPr>
      <w:rFonts w:hint="eastAsia" w:ascii="黑体" w:hAnsi="黑体" w:eastAsia="黑体" w:cs="黑体"/>
      <w:color w:val="333333"/>
      <w:sz w:val="32"/>
      <w:szCs w:val="32"/>
      <w:shd w:val="clear" w:color="auto" w:fill="FFFFFF"/>
    </w:rPr>
  </w:style>
  <w:style w:type="paragraph" w:customStyle="1" w:styleId="18">
    <w:name w:val="规章条款"/>
    <w:basedOn w:val="1"/>
    <w:next w:val="8"/>
    <w:link w:val="19"/>
    <w:qFormat/>
    <w:uiPriority w:val="0"/>
    <w:pPr>
      <w:ind w:firstLine="640" w:firstLineChars="200"/>
    </w:pPr>
    <w:rPr>
      <w:rFonts w:hint="eastAsia" w:ascii="黑体" w:hAnsi="黑体" w:eastAsia="黑体" w:cs="黑体"/>
      <w:color w:val="333333"/>
      <w:sz w:val="32"/>
      <w:szCs w:val="32"/>
      <w:shd w:val="clear" w:color="auto" w:fill="FFFFFF"/>
    </w:rPr>
  </w:style>
  <w:style w:type="character" w:customStyle="1" w:styleId="19">
    <w:name w:val="规章条款 Char"/>
    <w:link w:val="18"/>
    <w:qFormat/>
    <w:uiPriority w:val="0"/>
    <w:rPr>
      <w:rFonts w:hint="eastAsia" w:ascii="黑体" w:hAnsi="黑体" w:eastAsia="黑体" w:cs="黑体"/>
      <w:color w:val="333333"/>
      <w:sz w:val="32"/>
      <w:szCs w:val="32"/>
      <w:shd w:val="clear" w:color="auto" w:fill="FFFFFF"/>
    </w:rPr>
  </w:style>
  <w:style w:type="paragraph" w:customStyle="1" w:styleId="20">
    <w:name w:val="规章正文"/>
    <w:basedOn w:val="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character" w:customStyle="1" w:styleId="21">
    <w:name w:val="NormalCharacter"/>
    <w:qFormat/>
    <w:uiPriority w:val="0"/>
    <w:rPr>
      <w:rFonts w:asciiTheme="minorHAnsi" w:hAnsiTheme="minorHAnsi" w:eastAsiaTheme="minorEastAsia" w:cstheme="minorBidi"/>
      <w:kern w:val="2"/>
      <w:sz w:val="21"/>
      <w:szCs w:val="24"/>
      <w:lang w:val="en-US" w:eastAsia="zh-CN" w:bidi="ar-SA"/>
    </w:rPr>
  </w:style>
  <w:style w:type="paragraph" w:customStyle="1" w:styleId="2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8724</Words>
  <Characters>8739</Characters>
  <Lines>1</Lines>
  <Paragraphs>1</Paragraphs>
  <TotalTime>1</TotalTime>
  <ScaleCrop>false</ScaleCrop>
  <LinksUpToDate>false</LinksUpToDate>
  <CharactersWithSpaces>8924</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Administrator</cp:lastModifiedBy>
  <cp:lastPrinted>2021-10-29T03:30:00Z</cp:lastPrinted>
  <dcterms:modified xsi:type="dcterms:W3CDTF">2022-12-15T02:29:31Z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F7931DCDC0B04597AF7317AE6115E698</vt:lpwstr>
  </property>
</Properties>
</file>